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6BD" w:rsidRDefault="004C66BD" w:rsidP="004C66BD">
      <w:pPr>
        <w:pStyle w:val="2"/>
        <w:rPr>
          <w:sz w:val="28"/>
        </w:rPr>
      </w:pPr>
      <w:bookmarkStart w:id="0" w:name="_Toc9409"/>
      <w:bookmarkStart w:id="1" w:name="_Toc194156161"/>
      <w:r>
        <w:rPr>
          <w:rFonts w:cs="楷体_GB2312" w:hint="eastAsia"/>
          <w:sz w:val="28"/>
        </w:rPr>
        <w:t>附件</w:t>
      </w:r>
      <w:bookmarkStart w:id="2" w:name="_Toc206229082"/>
      <w:r>
        <w:rPr>
          <w:rFonts w:cs="楷体_GB2312" w:hint="eastAsia"/>
          <w:sz w:val="28"/>
        </w:rPr>
        <w:t>3</w:t>
      </w:r>
      <w:r>
        <w:rPr>
          <w:rFonts w:cs="楷体_GB2312" w:hint="eastAsia"/>
          <w:sz w:val="28"/>
        </w:rPr>
        <w:t>：广州生命科学大型仪器区域中心仪器设备共享公用管理办法</w:t>
      </w:r>
      <w:bookmarkEnd w:id="2"/>
      <w:r>
        <w:rPr>
          <w:rFonts w:cs="楷体_GB2312" w:hint="eastAsia"/>
          <w:sz w:val="28"/>
        </w:rPr>
        <w:t>（试行）</w:t>
      </w:r>
      <w:bookmarkEnd w:id="0"/>
    </w:p>
    <w:p w:rsidR="004C66BD" w:rsidRDefault="004C66BD" w:rsidP="004C66BD">
      <w:pPr>
        <w:spacing w:before="480" w:after="200"/>
        <w:jc w:val="center"/>
        <w:rPr>
          <w:rFonts w:ascii="楷体_GB2312" w:eastAsia="楷体_GB2312"/>
          <w:b/>
          <w:bCs/>
          <w:sz w:val="24"/>
          <w:szCs w:val="24"/>
        </w:rPr>
      </w:pPr>
      <w:r>
        <w:rPr>
          <w:rFonts w:ascii="楷体_GB2312" w:eastAsia="楷体_GB2312" w:cs="楷体_GB2312" w:hint="eastAsia"/>
          <w:b/>
          <w:bCs/>
          <w:sz w:val="24"/>
          <w:szCs w:val="24"/>
        </w:rPr>
        <w:t>第一章</w:t>
      </w:r>
      <w:r>
        <w:rPr>
          <w:rFonts w:ascii="楷体_GB2312" w:eastAsia="楷体_GB2312" w:cs="楷体_GB2312"/>
          <w:b/>
          <w:bCs/>
          <w:sz w:val="24"/>
          <w:szCs w:val="24"/>
        </w:rPr>
        <w:t xml:space="preserve">  </w:t>
      </w:r>
      <w:r>
        <w:rPr>
          <w:rFonts w:ascii="楷体_GB2312" w:eastAsia="楷体_GB2312" w:cs="楷体_GB2312" w:hint="eastAsia"/>
          <w:b/>
          <w:bCs/>
          <w:sz w:val="24"/>
          <w:szCs w:val="24"/>
        </w:rPr>
        <w:t>总则</w:t>
      </w:r>
      <w:bookmarkEnd w:id="1"/>
    </w:p>
    <w:p w:rsidR="004C66BD" w:rsidRDefault="004C66BD" w:rsidP="004C66BD">
      <w:pPr>
        <w:numPr>
          <w:ilvl w:val="0"/>
          <w:numId w:val="1"/>
        </w:numPr>
        <w:spacing w:line="360" w:lineRule="auto"/>
        <w:rPr>
          <w:rFonts w:ascii="楷体_GB2312" w:eastAsia="楷体_GB2312" w:hAnsi="华文细黑"/>
          <w:sz w:val="24"/>
          <w:szCs w:val="24"/>
        </w:rPr>
      </w:pPr>
      <w:r>
        <w:rPr>
          <w:rFonts w:ascii="楷体_GB2312" w:eastAsia="楷体_GB2312" w:hAnsi="华文细黑" w:cs="楷体_GB2312" w:hint="eastAsia"/>
          <w:sz w:val="24"/>
          <w:szCs w:val="24"/>
        </w:rPr>
        <w:t>为充分利用广州生命科学大型仪器区域中心（以下简称区域中心）内现有大型仪器设备资源，实现科技资源共享和优化配置，提高大型仪器设备使用效益，制定本办法。</w:t>
      </w:r>
    </w:p>
    <w:p w:rsidR="004C66BD" w:rsidRDefault="004C66BD" w:rsidP="004C66BD">
      <w:pPr>
        <w:numPr>
          <w:ilvl w:val="0"/>
          <w:numId w:val="1"/>
        </w:numPr>
        <w:spacing w:line="360" w:lineRule="auto"/>
        <w:rPr>
          <w:rFonts w:ascii="楷体_GB2312" w:eastAsia="楷体_GB2312" w:hAnsi="华文细黑"/>
          <w:sz w:val="24"/>
          <w:szCs w:val="24"/>
        </w:rPr>
      </w:pPr>
      <w:r>
        <w:rPr>
          <w:rFonts w:ascii="楷体_GB2312" w:eastAsia="楷体_GB2312" w:hAnsi="华文细黑" w:cs="楷体_GB2312" w:hint="eastAsia"/>
          <w:sz w:val="24"/>
          <w:szCs w:val="24"/>
        </w:rPr>
        <w:t>区域中心的大型仪器设备的共享共用指依托于广州生物医药与健康研究院、华南植物园、南海海洋研究所、能源研究所的大型仪器设备的资源信息共享和协作公用。信息</w:t>
      </w:r>
      <w:proofErr w:type="gramStart"/>
      <w:r>
        <w:rPr>
          <w:rFonts w:ascii="楷体_GB2312" w:eastAsia="楷体_GB2312" w:hAnsi="华文细黑" w:cs="楷体_GB2312" w:hint="eastAsia"/>
          <w:sz w:val="24"/>
          <w:szCs w:val="24"/>
        </w:rPr>
        <w:t>共享指</w:t>
      </w:r>
      <w:proofErr w:type="gramEnd"/>
      <w:r>
        <w:rPr>
          <w:rFonts w:ascii="楷体_GB2312" w:eastAsia="楷体_GB2312" w:hAnsi="华文细黑" w:cs="楷体_GB2312" w:hint="eastAsia"/>
          <w:sz w:val="24"/>
          <w:szCs w:val="24"/>
        </w:rPr>
        <w:t>大型仪器设备</w:t>
      </w:r>
      <w:r>
        <w:rPr>
          <w:rFonts w:ascii="楷体_GB2312" w:eastAsia="楷体_GB2312" w:cs="楷体_GB2312" w:hint="eastAsia"/>
          <w:sz w:val="24"/>
          <w:szCs w:val="24"/>
        </w:rPr>
        <w:t>资源</w:t>
      </w:r>
      <w:r>
        <w:rPr>
          <w:rFonts w:ascii="楷体_GB2312" w:eastAsia="楷体_GB2312" w:hAnsi="华文细黑" w:cs="楷体_GB2312" w:hint="eastAsia"/>
          <w:sz w:val="24"/>
          <w:szCs w:val="24"/>
        </w:rPr>
        <w:t>信息在互联网上发布；协作</w:t>
      </w:r>
      <w:proofErr w:type="gramStart"/>
      <w:r>
        <w:rPr>
          <w:rFonts w:ascii="楷体_GB2312" w:eastAsia="楷体_GB2312" w:hAnsi="华文细黑" w:cs="楷体_GB2312" w:hint="eastAsia"/>
          <w:sz w:val="24"/>
          <w:szCs w:val="24"/>
        </w:rPr>
        <w:t>公用指</w:t>
      </w:r>
      <w:proofErr w:type="gramEnd"/>
      <w:r>
        <w:rPr>
          <w:rFonts w:ascii="楷体_GB2312" w:eastAsia="楷体_GB2312" w:hAnsi="华文细黑" w:cs="楷体_GB2312" w:hint="eastAsia"/>
          <w:sz w:val="24"/>
          <w:szCs w:val="24"/>
        </w:rPr>
        <w:t>通过区域中心补贴方式，鼓励区域中心的大型仪器设备面向区域中心、面向社会服务。</w:t>
      </w:r>
    </w:p>
    <w:p w:rsidR="004C66BD" w:rsidRDefault="004C66BD" w:rsidP="004C66BD">
      <w:pPr>
        <w:numPr>
          <w:ilvl w:val="0"/>
          <w:numId w:val="1"/>
        </w:numPr>
        <w:spacing w:line="360" w:lineRule="auto"/>
        <w:rPr>
          <w:rFonts w:ascii="楷体_GB2312" w:eastAsia="楷体_GB2312" w:hAnsi="华文细黑"/>
          <w:sz w:val="24"/>
          <w:szCs w:val="24"/>
        </w:rPr>
      </w:pPr>
      <w:r>
        <w:rPr>
          <w:rFonts w:ascii="楷体_GB2312" w:eastAsia="楷体_GB2312" w:hAnsi="华文细黑" w:cs="楷体_GB2312" w:hint="eastAsia"/>
          <w:sz w:val="24"/>
          <w:szCs w:val="24"/>
        </w:rPr>
        <w:t>区域中心的大型仪器设备指区域中心各成员单位利用国家</w:t>
      </w:r>
      <w:proofErr w:type="gramStart"/>
      <w:r>
        <w:rPr>
          <w:rFonts w:ascii="楷体_GB2312" w:eastAsia="楷体_GB2312" w:hAnsi="华文细黑" w:cs="楷体_GB2312" w:hint="eastAsia"/>
          <w:sz w:val="24"/>
          <w:szCs w:val="24"/>
        </w:rPr>
        <w:t>以及院</w:t>
      </w:r>
      <w:proofErr w:type="gramEnd"/>
      <w:r>
        <w:rPr>
          <w:rFonts w:ascii="楷体_GB2312" w:eastAsia="楷体_GB2312" w:hAnsi="华文细黑" w:cs="楷体_GB2312" w:hint="eastAsia"/>
          <w:sz w:val="24"/>
          <w:szCs w:val="24"/>
        </w:rPr>
        <w:t>装备专项经费购置的单台（套）价值在</w:t>
      </w:r>
      <w:r>
        <w:rPr>
          <w:rFonts w:ascii="楷体_GB2312" w:eastAsia="楷体_GB2312" w:hAnsi="华文细黑" w:cs="楷体_GB2312"/>
          <w:sz w:val="24"/>
          <w:szCs w:val="24"/>
        </w:rPr>
        <w:t>50</w:t>
      </w:r>
      <w:r>
        <w:rPr>
          <w:rFonts w:ascii="楷体_GB2312" w:eastAsia="楷体_GB2312" w:hAnsi="华文细黑" w:cs="楷体_GB2312" w:hint="eastAsia"/>
          <w:sz w:val="24"/>
          <w:szCs w:val="24"/>
        </w:rPr>
        <w:t>万元人民币以上的科学仪器。区域中心各成员单位以其它经费购置的单台（套）在价值在</w:t>
      </w:r>
      <w:r>
        <w:rPr>
          <w:rFonts w:ascii="楷体_GB2312" w:eastAsia="楷体_GB2312" w:hAnsi="华文细黑" w:cs="楷体_GB2312"/>
          <w:sz w:val="24"/>
          <w:szCs w:val="24"/>
        </w:rPr>
        <w:t>50</w:t>
      </w:r>
      <w:r>
        <w:rPr>
          <w:rFonts w:ascii="楷体_GB2312" w:eastAsia="楷体_GB2312" w:hAnsi="华文细黑" w:cs="楷体_GB2312" w:hint="eastAsia"/>
          <w:sz w:val="24"/>
          <w:szCs w:val="24"/>
        </w:rPr>
        <w:t>万元以上的仪器设备，经自愿申请、区域中心管委会审核同意可以加入大型仪器区域中心。</w:t>
      </w:r>
    </w:p>
    <w:p w:rsidR="004C66BD" w:rsidRDefault="004C66BD" w:rsidP="004C66BD">
      <w:pPr>
        <w:numPr>
          <w:ilvl w:val="0"/>
          <w:numId w:val="1"/>
        </w:numPr>
        <w:spacing w:line="360" w:lineRule="auto"/>
        <w:rPr>
          <w:rFonts w:ascii="楷体_GB2312" w:eastAsia="楷体_GB2312" w:hAnsi="华文细黑"/>
          <w:sz w:val="24"/>
          <w:szCs w:val="24"/>
        </w:rPr>
      </w:pPr>
      <w:r>
        <w:rPr>
          <w:rFonts w:ascii="楷体_GB2312" w:eastAsia="楷体_GB2312" w:hAnsi="华文细黑" w:cs="楷体_GB2312" w:hint="eastAsia"/>
          <w:sz w:val="24"/>
          <w:szCs w:val="24"/>
        </w:rPr>
        <w:t>大型仪器设备共享公用的宗旨：</w:t>
      </w:r>
    </w:p>
    <w:p w:rsidR="004C66BD" w:rsidRDefault="004C66BD" w:rsidP="004C66BD">
      <w:pPr>
        <w:numPr>
          <w:ilvl w:val="0"/>
          <w:numId w:val="2"/>
        </w:numPr>
        <w:spacing w:line="360" w:lineRule="auto"/>
        <w:rPr>
          <w:rFonts w:ascii="楷体_GB2312" w:eastAsia="楷体_GB2312" w:hAnsi="华文细黑"/>
          <w:sz w:val="24"/>
          <w:szCs w:val="24"/>
        </w:rPr>
      </w:pPr>
      <w:r>
        <w:rPr>
          <w:rFonts w:ascii="楷体_GB2312" w:eastAsia="楷体_GB2312" w:hAnsi="华文细黑" w:cs="楷体_GB2312" w:hint="eastAsia"/>
          <w:sz w:val="24"/>
          <w:szCs w:val="24"/>
        </w:rPr>
        <w:t>提高大型仪器设备使用效率，实现资源共享。</w:t>
      </w:r>
    </w:p>
    <w:p w:rsidR="004C66BD" w:rsidRDefault="004C66BD" w:rsidP="004C66BD">
      <w:pPr>
        <w:numPr>
          <w:ilvl w:val="0"/>
          <w:numId w:val="2"/>
        </w:numPr>
        <w:spacing w:line="360" w:lineRule="auto"/>
        <w:rPr>
          <w:rFonts w:ascii="楷体_GB2312" w:eastAsia="楷体_GB2312" w:hAnsi="华文细黑"/>
          <w:sz w:val="24"/>
          <w:szCs w:val="24"/>
        </w:rPr>
      </w:pPr>
      <w:r>
        <w:rPr>
          <w:rFonts w:ascii="楷体_GB2312" w:eastAsia="楷体_GB2312" w:hAnsi="华文细黑" w:cs="楷体_GB2312" w:hint="eastAsia"/>
          <w:sz w:val="24"/>
          <w:szCs w:val="24"/>
        </w:rPr>
        <w:t>合理配置科技资源，最大限度地避免重复购置和引进。</w:t>
      </w:r>
    </w:p>
    <w:p w:rsidR="004C66BD" w:rsidRDefault="004C66BD" w:rsidP="004C66BD">
      <w:pPr>
        <w:numPr>
          <w:ilvl w:val="0"/>
          <w:numId w:val="2"/>
        </w:numPr>
        <w:spacing w:line="360" w:lineRule="auto"/>
        <w:rPr>
          <w:rFonts w:ascii="楷体_GB2312" w:eastAsia="楷体_GB2312" w:hAnsi="华文细黑"/>
          <w:sz w:val="24"/>
          <w:szCs w:val="24"/>
        </w:rPr>
      </w:pPr>
      <w:r>
        <w:rPr>
          <w:rFonts w:ascii="楷体_GB2312" w:eastAsia="楷体_GB2312" w:hAnsi="华文细黑" w:cs="楷体_GB2312" w:hint="eastAsia"/>
          <w:sz w:val="24"/>
          <w:szCs w:val="24"/>
        </w:rPr>
        <w:t>探索和建立多渠道、多元化的大型仪器设备共享公用的运行模式。</w:t>
      </w:r>
    </w:p>
    <w:p w:rsidR="004C66BD" w:rsidRDefault="004C66BD" w:rsidP="004C66BD">
      <w:pPr>
        <w:numPr>
          <w:ilvl w:val="0"/>
          <w:numId w:val="1"/>
        </w:numPr>
        <w:spacing w:line="360" w:lineRule="auto"/>
        <w:rPr>
          <w:rFonts w:ascii="楷体_GB2312" w:eastAsia="楷体_GB2312" w:hAnsi="华文细黑"/>
          <w:sz w:val="24"/>
          <w:szCs w:val="24"/>
        </w:rPr>
      </w:pPr>
      <w:r>
        <w:rPr>
          <w:rFonts w:ascii="楷体_GB2312" w:eastAsia="楷体_GB2312" w:hAnsi="华文细黑" w:cs="楷体_GB2312" w:hint="eastAsia"/>
          <w:sz w:val="24"/>
          <w:szCs w:val="24"/>
        </w:rPr>
        <w:t>共享公用大型仪器设备的权属单位享有相应的权利，承担相应的义务。</w:t>
      </w:r>
    </w:p>
    <w:p w:rsidR="004C66BD" w:rsidRDefault="004C66BD" w:rsidP="004C66BD">
      <w:pPr>
        <w:spacing w:before="480" w:after="200"/>
        <w:jc w:val="center"/>
        <w:rPr>
          <w:rFonts w:ascii="楷体_GB2312" w:eastAsia="楷体_GB2312"/>
          <w:b/>
          <w:bCs/>
          <w:sz w:val="24"/>
          <w:szCs w:val="24"/>
        </w:rPr>
      </w:pPr>
      <w:bookmarkStart w:id="3" w:name="_Toc194156162"/>
      <w:r>
        <w:rPr>
          <w:rFonts w:ascii="楷体_GB2312" w:eastAsia="楷体_GB2312" w:cs="楷体_GB2312" w:hint="eastAsia"/>
          <w:b/>
          <w:bCs/>
          <w:sz w:val="24"/>
          <w:szCs w:val="24"/>
        </w:rPr>
        <w:t>第二章</w:t>
      </w:r>
      <w:r>
        <w:rPr>
          <w:rFonts w:ascii="楷体_GB2312" w:eastAsia="楷体_GB2312" w:cs="楷体_GB2312"/>
          <w:b/>
          <w:bCs/>
          <w:sz w:val="24"/>
          <w:szCs w:val="24"/>
        </w:rPr>
        <w:t xml:space="preserve">  </w:t>
      </w:r>
      <w:r>
        <w:rPr>
          <w:rFonts w:ascii="楷体_GB2312" w:eastAsia="楷体_GB2312" w:cs="楷体_GB2312" w:hint="eastAsia"/>
          <w:b/>
          <w:bCs/>
          <w:sz w:val="24"/>
          <w:szCs w:val="24"/>
        </w:rPr>
        <w:t>组织机构与职责</w:t>
      </w:r>
      <w:bookmarkEnd w:id="3"/>
    </w:p>
    <w:p w:rsidR="004C66BD" w:rsidRDefault="004C66BD" w:rsidP="004C66BD">
      <w:pPr>
        <w:numPr>
          <w:ilvl w:val="0"/>
          <w:numId w:val="1"/>
        </w:numPr>
        <w:spacing w:line="360" w:lineRule="auto"/>
        <w:rPr>
          <w:rFonts w:ascii="楷体_GB2312" w:eastAsia="楷体_GB2312"/>
          <w:color w:val="000000"/>
          <w:sz w:val="24"/>
          <w:szCs w:val="24"/>
        </w:rPr>
      </w:pPr>
      <w:r>
        <w:rPr>
          <w:rFonts w:ascii="楷体_GB2312" w:eastAsia="楷体_GB2312" w:cs="楷体_GB2312" w:hint="eastAsia"/>
          <w:color w:val="000000"/>
          <w:sz w:val="24"/>
          <w:szCs w:val="24"/>
        </w:rPr>
        <w:t>广州生命科学大型仪器区域中心下设管理委员会（以下简称管委会）。管委会由区域中心成员单位主管所领导组成，主任由牵头单位主管所领导担任。管委会下设区域中心管理办公室（以下简称办公室），办公室成员由区域中心各成员单位所级公共技术服务中心负责人组成。</w:t>
      </w:r>
    </w:p>
    <w:p w:rsidR="004C66BD" w:rsidRDefault="004C66BD" w:rsidP="004C66BD">
      <w:pPr>
        <w:numPr>
          <w:ilvl w:val="0"/>
          <w:numId w:val="1"/>
        </w:numPr>
        <w:spacing w:line="360" w:lineRule="auto"/>
        <w:rPr>
          <w:rFonts w:ascii="楷体_GB2312" w:eastAsia="楷体_GB2312"/>
          <w:sz w:val="24"/>
          <w:szCs w:val="24"/>
        </w:rPr>
      </w:pPr>
      <w:r>
        <w:rPr>
          <w:rFonts w:ascii="楷体_GB2312" w:eastAsia="楷体_GB2312" w:cs="楷体_GB2312" w:hint="eastAsia"/>
          <w:sz w:val="24"/>
          <w:szCs w:val="24"/>
        </w:rPr>
        <w:lastRenderedPageBreak/>
        <w:t>管委会主要职责：</w:t>
      </w:r>
    </w:p>
    <w:p w:rsidR="004C66BD" w:rsidRDefault="004C66BD" w:rsidP="004C66BD">
      <w:pPr>
        <w:numPr>
          <w:ilvl w:val="0"/>
          <w:numId w:val="3"/>
        </w:numPr>
        <w:spacing w:line="360" w:lineRule="auto"/>
        <w:rPr>
          <w:rFonts w:ascii="楷体_GB2312" w:eastAsia="楷体_GB2312"/>
          <w:sz w:val="24"/>
          <w:szCs w:val="24"/>
        </w:rPr>
      </w:pPr>
      <w:r>
        <w:rPr>
          <w:rFonts w:ascii="楷体_GB2312" w:eastAsia="楷体_GB2312" w:cs="楷体_GB2312" w:hint="eastAsia"/>
          <w:sz w:val="24"/>
          <w:szCs w:val="24"/>
        </w:rPr>
        <w:t>规划区域中心建设方案、目标和运行模式；</w:t>
      </w:r>
    </w:p>
    <w:p w:rsidR="004C66BD" w:rsidRDefault="004C66BD" w:rsidP="004C66BD">
      <w:pPr>
        <w:numPr>
          <w:ilvl w:val="0"/>
          <w:numId w:val="3"/>
        </w:numPr>
        <w:spacing w:line="360" w:lineRule="auto"/>
        <w:rPr>
          <w:rFonts w:ascii="楷体_GB2312" w:eastAsia="楷体_GB2312"/>
          <w:sz w:val="24"/>
          <w:szCs w:val="24"/>
        </w:rPr>
      </w:pPr>
      <w:r>
        <w:rPr>
          <w:rFonts w:ascii="楷体_GB2312" w:eastAsia="楷体_GB2312" w:cs="楷体_GB2312" w:hint="eastAsia"/>
          <w:sz w:val="24"/>
          <w:szCs w:val="24"/>
        </w:rPr>
        <w:t>审订区域中心运行、共享公用的相关政策；</w:t>
      </w:r>
    </w:p>
    <w:p w:rsidR="004C66BD" w:rsidRDefault="004C66BD" w:rsidP="004C66BD">
      <w:pPr>
        <w:numPr>
          <w:ilvl w:val="0"/>
          <w:numId w:val="3"/>
        </w:numPr>
        <w:spacing w:line="360" w:lineRule="auto"/>
        <w:rPr>
          <w:rFonts w:ascii="楷体_GB2312" w:eastAsia="楷体_GB2312"/>
          <w:sz w:val="24"/>
          <w:szCs w:val="24"/>
        </w:rPr>
      </w:pPr>
      <w:r>
        <w:rPr>
          <w:rFonts w:ascii="楷体_GB2312" w:eastAsia="楷体_GB2312" w:cs="楷体_GB2312" w:hint="eastAsia"/>
          <w:sz w:val="24"/>
          <w:szCs w:val="24"/>
        </w:rPr>
        <w:t>协调筹集共享运行资金、争取</w:t>
      </w:r>
      <w:r>
        <w:rPr>
          <w:rFonts w:ascii="楷体_GB2312" w:eastAsia="楷体_GB2312" w:hAnsi="宋体" w:cs="楷体_GB2312" w:hint="eastAsia"/>
          <w:color w:val="000000"/>
          <w:kern w:val="0"/>
          <w:sz w:val="24"/>
          <w:szCs w:val="24"/>
        </w:rPr>
        <w:t>大型仪器功能创新项目和仪器研制项目</w:t>
      </w:r>
      <w:r>
        <w:rPr>
          <w:rFonts w:ascii="楷体_GB2312" w:eastAsia="楷体_GB2312" w:cs="楷体_GB2312" w:hint="eastAsia"/>
          <w:sz w:val="24"/>
          <w:szCs w:val="24"/>
        </w:rPr>
        <w:t>；</w:t>
      </w:r>
    </w:p>
    <w:p w:rsidR="004C66BD" w:rsidRDefault="004C66BD" w:rsidP="004C66BD">
      <w:pPr>
        <w:numPr>
          <w:ilvl w:val="0"/>
          <w:numId w:val="3"/>
        </w:numPr>
        <w:spacing w:line="360" w:lineRule="auto"/>
        <w:rPr>
          <w:rFonts w:ascii="楷体_GB2312" w:eastAsia="楷体_GB2312"/>
          <w:color w:val="000000"/>
          <w:sz w:val="24"/>
          <w:szCs w:val="24"/>
        </w:rPr>
      </w:pPr>
      <w:r>
        <w:rPr>
          <w:rFonts w:ascii="楷体_GB2312" w:eastAsia="楷体_GB2312" w:cs="楷体_GB2312" w:hint="eastAsia"/>
          <w:sz w:val="24"/>
          <w:szCs w:val="24"/>
        </w:rPr>
        <w:t>设立</w:t>
      </w:r>
      <w:r>
        <w:rPr>
          <w:rFonts w:ascii="楷体_GB2312" w:eastAsia="楷体_GB2312" w:cs="楷体_GB2312" w:hint="eastAsia"/>
          <w:color w:val="000000"/>
          <w:sz w:val="24"/>
          <w:szCs w:val="24"/>
        </w:rPr>
        <w:t>区域中心管理办公室，监督办公室工作及运行。</w:t>
      </w:r>
    </w:p>
    <w:p w:rsidR="004C66BD" w:rsidRDefault="004C66BD" w:rsidP="004C66BD">
      <w:pPr>
        <w:numPr>
          <w:ilvl w:val="0"/>
          <w:numId w:val="1"/>
        </w:numPr>
        <w:spacing w:line="360" w:lineRule="auto"/>
        <w:rPr>
          <w:rFonts w:ascii="楷体_GB2312" w:eastAsia="楷体_GB2312"/>
          <w:sz w:val="24"/>
          <w:szCs w:val="24"/>
        </w:rPr>
      </w:pPr>
      <w:r>
        <w:rPr>
          <w:rFonts w:ascii="楷体_GB2312" w:eastAsia="楷体_GB2312" w:cs="楷体_GB2312" w:hint="eastAsia"/>
          <w:color w:val="000000"/>
          <w:sz w:val="24"/>
          <w:szCs w:val="24"/>
        </w:rPr>
        <w:t>办公室的设立和主要</w:t>
      </w:r>
      <w:r>
        <w:rPr>
          <w:rFonts w:ascii="楷体_GB2312" w:eastAsia="楷体_GB2312" w:cs="楷体_GB2312" w:hint="eastAsia"/>
          <w:sz w:val="24"/>
          <w:szCs w:val="24"/>
        </w:rPr>
        <w:t>职责：</w:t>
      </w:r>
    </w:p>
    <w:p w:rsidR="004C66BD" w:rsidRDefault="004C66BD" w:rsidP="004C66BD">
      <w:pPr>
        <w:numPr>
          <w:ilvl w:val="0"/>
          <w:numId w:val="4"/>
        </w:numPr>
        <w:spacing w:line="360" w:lineRule="auto"/>
        <w:rPr>
          <w:rFonts w:ascii="楷体_GB2312" w:eastAsia="楷体_GB2312"/>
          <w:sz w:val="24"/>
          <w:szCs w:val="24"/>
        </w:rPr>
      </w:pPr>
      <w:r>
        <w:rPr>
          <w:rFonts w:ascii="楷体_GB2312" w:eastAsia="楷体_GB2312" w:cs="楷体_GB2312" w:hint="eastAsia"/>
          <w:sz w:val="24"/>
          <w:szCs w:val="24"/>
        </w:rPr>
        <w:t>办公室由管委会设立，办公室的组成形式和成员任用由管委会根据实际需要确定；</w:t>
      </w:r>
    </w:p>
    <w:p w:rsidR="004C66BD" w:rsidRDefault="004C66BD" w:rsidP="004C66BD">
      <w:pPr>
        <w:numPr>
          <w:ilvl w:val="0"/>
          <w:numId w:val="4"/>
        </w:numPr>
        <w:spacing w:line="360" w:lineRule="auto"/>
        <w:rPr>
          <w:rFonts w:ascii="楷体_GB2312" w:eastAsia="楷体_GB2312"/>
          <w:sz w:val="24"/>
          <w:szCs w:val="24"/>
        </w:rPr>
      </w:pPr>
      <w:r>
        <w:rPr>
          <w:rFonts w:ascii="楷体_GB2312" w:eastAsia="楷体_GB2312" w:cs="楷体_GB2312" w:hint="eastAsia"/>
          <w:sz w:val="24"/>
          <w:szCs w:val="24"/>
        </w:rPr>
        <w:t>办公室是管委会的常设机构，负责</w:t>
      </w:r>
      <w:r>
        <w:rPr>
          <w:rFonts w:ascii="楷体_GB2312" w:eastAsia="楷体_GB2312" w:cs="楷体_GB2312" w:hint="eastAsia"/>
          <w:color w:val="000000"/>
          <w:sz w:val="24"/>
          <w:szCs w:val="24"/>
        </w:rPr>
        <w:t>管委会日常工作及管委会交办的其它事务工作；</w:t>
      </w:r>
    </w:p>
    <w:p w:rsidR="004C66BD" w:rsidRDefault="004C66BD" w:rsidP="004C66BD">
      <w:pPr>
        <w:numPr>
          <w:ilvl w:val="0"/>
          <w:numId w:val="4"/>
        </w:numPr>
        <w:spacing w:line="360" w:lineRule="auto"/>
        <w:rPr>
          <w:rFonts w:ascii="楷体_GB2312" w:eastAsia="楷体_GB2312"/>
          <w:sz w:val="24"/>
          <w:szCs w:val="24"/>
        </w:rPr>
      </w:pPr>
      <w:r>
        <w:rPr>
          <w:rFonts w:ascii="楷体_GB2312" w:eastAsia="楷体_GB2312" w:cs="楷体_GB2312" w:hint="eastAsia"/>
          <w:sz w:val="24"/>
          <w:szCs w:val="24"/>
        </w:rPr>
        <w:t>办公室负责区域中心大型仪器设备名单的初审，最终名单由管委会审定；</w:t>
      </w:r>
    </w:p>
    <w:p w:rsidR="004C66BD" w:rsidRDefault="004C66BD" w:rsidP="004C66BD">
      <w:pPr>
        <w:numPr>
          <w:ilvl w:val="0"/>
          <w:numId w:val="4"/>
        </w:numPr>
        <w:spacing w:line="360" w:lineRule="auto"/>
        <w:rPr>
          <w:rFonts w:ascii="楷体_GB2312" w:eastAsia="楷体_GB2312"/>
          <w:sz w:val="24"/>
          <w:szCs w:val="24"/>
        </w:rPr>
      </w:pPr>
      <w:r>
        <w:rPr>
          <w:rFonts w:ascii="楷体_GB2312" w:eastAsia="楷体_GB2312" w:cs="楷体_GB2312" w:hint="eastAsia"/>
          <w:sz w:val="24"/>
          <w:szCs w:val="24"/>
        </w:rPr>
        <w:t>办公室负责区域中心大型仪器设备收费标准的初审，最终收费标准由管委会审核批准；</w:t>
      </w:r>
    </w:p>
    <w:p w:rsidR="004C66BD" w:rsidRDefault="004C66BD" w:rsidP="004C66BD">
      <w:pPr>
        <w:numPr>
          <w:ilvl w:val="0"/>
          <w:numId w:val="4"/>
        </w:numPr>
        <w:spacing w:line="360" w:lineRule="auto"/>
        <w:rPr>
          <w:rFonts w:ascii="楷体_GB2312" w:eastAsia="楷体_GB2312"/>
          <w:sz w:val="24"/>
          <w:szCs w:val="24"/>
        </w:rPr>
      </w:pPr>
      <w:r>
        <w:rPr>
          <w:rFonts w:ascii="楷体_GB2312" w:eastAsia="楷体_GB2312" w:cs="楷体_GB2312" w:hint="eastAsia"/>
          <w:sz w:val="24"/>
          <w:szCs w:val="24"/>
        </w:rPr>
        <w:t>办公室</w:t>
      </w:r>
      <w:r>
        <w:rPr>
          <w:rFonts w:ascii="楷体_GB2312" w:eastAsia="楷体_GB2312" w:cs="楷体_GB2312" w:hint="eastAsia"/>
          <w:color w:val="000000"/>
          <w:sz w:val="24"/>
          <w:szCs w:val="24"/>
        </w:rPr>
        <w:t>负责区域中心大型仪器设备运行费补贴及基金方案的草拟，初审各项仪器设备运行费补贴及基金额度，最终补贴及基金方案和补贴及基金额度由管委会审核批准；</w:t>
      </w:r>
    </w:p>
    <w:p w:rsidR="004C66BD" w:rsidRDefault="004C66BD" w:rsidP="004C66BD">
      <w:pPr>
        <w:numPr>
          <w:ilvl w:val="0"/>
          <w:numId w:val="4"/>
        </w:numPr>
        <w:spacing w:line="360" w:lineRule="auto"/>
        <w:rPr>
          <w:rFonts w:ascii="楷体_GB2312" w:eastAsia="楷体_GB2312"/>
          <w:sz w:val="24"/>
          <w:szCs w:val="24"/>
        </w:rPr>
      </w:pPr>
      <w:r>
        <w:rPr>
          <w:rFonts w:ascii="楷体_GB2312" w:eastAsia="楷体_GB2312" w:cs="楷体_GB2312" w:hint="eastAsia"/>
          <w:sz w:val="24"/>
          <w:szCs w:val="24"/>
        </w:rPr>
        <w:t>办公室负责建立和管理区域中心网站；负责大型仪器设备资源共享信息的上报、披露和发布；</w:t>
      </w:r>
    </w:p>
    <w:p w:rsidR="004C66BD" w:rsidRDefault="004C66BD" w:rsidP="004C66BD">
      <w:pPr>
        <w:numPr>
          <w:ilvl w:val="0"/>
          <w:numId w:val="4"/>
        </w:numPr>
        <w:spacing w:line="360" w:lineRule="auto"/>
        <w:rPr>
          <w:rFonts w:ascii="楷体_GB2312" w:eastAsia="楷体_GB2312"/>
          <w:sz w:val="24"/>
          <w:szCs w:val="24"/>
        </w:rPr>
      </w:pPr>
      <w:r>
        <w:rPr>
          <w:rFonts w:ascii="楷体_GB2312" w:eastAsia="楷体_GB2312" w:cs="楷体_GB2312" w:hint="eastAsia"/>
          <w:sz w:val="24"/>
          <w:szCs w:val="24"/>
        </w:rPr>
        <w:t>办公室</w:t>
      </w:r>
      <w:r>
        <w:rPr>
          <w:rFonts w:ascii="楷体_GB2312" w:eastAsia="楷体_GB2312" w:cs="楷体_GB2312" w:hint="eastAsia"/>
          <w:color w:val="000000"/>
          <w:sz w:val="24"/>
          <w:szCs w:val="24"/>
        </w:rPr>
        <w:t>负责大型仪器设备年度绩效考核及评优评先。</w:t>
      </w:r>
    </w:p>
    <w:p w:rsidR="004C66BD" w:rsidRDefault="004C66BD" w:rsidP="004C66BD">
      <w:pPr>
        <w:spacing w:before="480" w:after="200"/>
        <w:jc w:val="center"/>
        <w:rPr>
          <w:rFonts w:ascii="楷体_GB2312" w:eastAsia="楷体_GB2312"/>
          <w:b/>
          <w:bCs/>
          <w:sz w:val="24"/>
          <w:szCs w:val="24"/>
        </w:rPr>
      </w:pPr>
      <w:bookmarkStart w:id="4" w:name="_Toc194156163"/>
      <w:r>
        <w:rPr>
          <w:rFonts w:ascii="楷体_GB2312" w:eastAsia="楷体_GB2312" w:cs="楷体_GB2312" w:hint="eastAsia"/>
          <w:b/>
          <w:bCs/>
          <w:sz w:val="24"/>
          <w:szCs w:val="24"/>
        </w:rPr>
        <w:t>第三章</w:t>
      </w:r>
      <w:r>
        <w:rPr>
          <w:rFonts w:ascii="楷体_GB2312" w:eastAsia="楷体_GB2312" w:cs="楷体_GB2312"/>
          <w:b/>
          <w:bCs/>
          <w:sz w:val="24"/>
          <w:szCs w:val="24"/>
        </w:rPr>
        <w:t xml:space="preserve">  </w:t>
      </w:r>
      <w:r>
        <w:rPr>
          <w:rFonts w:ascii="楷体_GB2312" w:eastAsia="楷体_GB2312" w:cs="楷体_GB2312" w:hint="eastAsia"/>
          <w:b/>
          <w:bCs/>
          <w:sz w:val="24"/>
          <w:szCs w:val="24"/>
        </w:rPr>
        <w:t>区域中心大型仪器设备的入围条件</w:t>
      </w:r>
      <w:bookmarkEnd w:id="4"/>
    </w:p>
    <w:p w:rsidR="004C66BD" w:rsidRDefault="004C66BD" w:rsidP="004C66BD">
      <w:pPr>
        <w:numPr>
          <w:ilvl w:val="0"/>
          <w:numId w:val="1"/>
        </w:numPr>
        <w:spacing w:line="360" w:lineRule="auto"/>
        <w:rPr>
          <w:rFonts w:ascii="楷体_GB2312" w:eastAsia="楷体_GB2312" w:hAnsi="华文细黑"/>
          <w:sz w:val="24"/>
          <w:szCs w:val="24"/>
        </w:rPr>
      </w:pPr>
      <w:r>
        <w:rPr>
          <w:rFonts w:ascii="楷体_GB2312" w:eastAsia="楷体_GB2312" w:hAnsi="华文细黑" w:cs="楷体_GB2312" w:hint="eastAsia"/>
          <w:sz w:val="24"/>
          <w:szCs w:val="24"/>
        </w:rPr>
        <w:t>区域中心大型仪器设备的入围条件：</w:t>
      </w:r>
    </w:p>
    <w:p w:rsidR="004C66BD" w:rsidRDefault="004C66BD" w:rsidP="004C66BD">
      <w:pPr>
        <w:numPr>
          <w:ilvl w:val="0"/>
          <w:numId w:val="5"/>
        </w:numPr>
        <w:spacing w:line="360" w:lineRule="auto"/>
        <w:rPr>
          <w:rFonts w:ascii="楷体_GB2312" w:eastAsia="楷体_GB2312" w:hAnsi="华文细黑"/>
          <w:sz w:val="24"/>
          <w:szCs w:val="24"/>
        </w:rPr>
      </w:pPr>
      <w:r>
        <w:rPr>
          <w:rFonts w:ascii="楷体_GB2312" w:eastAsia="楷体_GB2312" w:hAnsi="华文细黑" w:cs="楷体_GB2312" w:hint="eastAsia"/>
          <w:sz w:val="24"/>
          <w:szCs w:val="24"/>
        </w:rPr>
        <w:t>仪器现况的性能指标基本达到仪器设计指标（以仪器设备说明书或技术手册为参考）；</w:t>
      </w:r>
    </w:p>
    <w:p w:rsidR="004C66BD" w:rsidRDefault="004C66BD" w:rsidP="004C66BD">
      <w:pPr>
        <w:numPr>
          <w:ilvl w:val="0"/>
          <w:numId w:val="5"/>
        </w:numPr>
        <w:spacing w:line="360" w:lineRule="auto"/>
        <w:rPr>
          <w:rFonts w:ascii="楷体_GB2312" w:eastAsia="楷体_GB2312" w:hAnsi="华文细黑"/>
          <w:sz w:val="24"/>
          <w:szCs w:val="24"/>
        </w:rPr>
      </w:pPr>
      <w:r>
        <w:rPr>
          <w:rFonts w:ascii="楷体_GB2312" w:eastAsia="楷体_GB2312" w:hAnsi="华文细黑" w:cs="楷体_GB2312" w:hint="eastAsia"/>
          <w:sz w:val="24"/>
          <w:szCs w:val="24"/>
        </w:rPr>
        <w:t>仪器能够正常运行（运行年度检修时间累计不超过</w:t>
      </w:r>
      <w:r>
        <w:rPr>
          <w:rFonts w:ascii="楷体_GB2312" w:eastAsia="楷体_GB2312" w:hAnsi="华文细黑" w:cs="楷体_GB2312"/>
          <w:sz w:val="24"/>
          <w:szCs w:val="24"/>
        </w:rPr>
        <w:t>3</w:t>
      </w:r>
      <w:r>
        <w:rPr>
          <w:rFonts w:ascii="楷体_GB2312" w:eastAsia="楷体_GB2312" w:hAnsi="华文细黑" w:cs="楷体_GB2312" w:hint="eastAsia"/>
          <w:sz w:val="24"/>
          <w:szCs w:val="24"/>
        </w:rPr>
        <w:t>个月）；</w:t>
      </w:r>
    </w:p>
    <w:p w:rsidR="004C66BD" w:rsidRDefault="004C66BD" w:rsidP="004C66BD">
      <w:pPr>
        <w:numPr>
          <w:ilvl w:val="0"/>
          <w:numId w:val="5"/>
        </w:numPr>
        <w:spacing w:line="360" w:lineRule="auto"/>
        <w:rPr>
          <w:rFonts w:ascii="楷体_GB2312" w:eastAsia="楷体_GB2312" w:hAnsi="华文细黑"/>
          <w:sz w:val="24"/>
          <w:szCs w:val="24"/>
        </w:rPr>
      </w:pPr>
      <w:r>
        <w:rPr>
          <w:rFonts w:ascii="楷体_GB2312" w:eastAsia="楷体_GB2312" w:hAnsi="华文细黑" w:cs="楷体_GB2312" w:hint="eastAsia"/>
          <w:sz w:val="24"/>
          <w:szCs w:val="24"/>
        </w:rPr>
        <w:t>有熟练的仪器操作、分析测试技术人员；</w:t>
      </w:r>
    </w:p>
    <w:p w:rsidR="004C66BD" w:rsidRDefault="004C66BD" w:rsidP="004C66BD">
      <w:pPr>
        <w:numPr>
          <w:ilvl w:val="0"/>
          <w:numId w:val="5"/>
        </w:numPr>
        <w:spacing w:line="360" w:lineRule="auto"/>
        <w:rPr>
          <w:rFonts w:ascii="楷体_GB2312" w:eastAsia="楷体_GB2312" w:hAnsi="华文细黑"/>
          <w:sz w:val="24"/>
          <w:szCs w:val="24"/>
        </w:rPr>
      </w:pPr>
      <w:r>
        <w:rPr>
          <w:rFonts w:ascii="楷体_GB2312" w:eastAsia="楷体_GB2312" w:hAnsi="华文细黑" w:cs="楷体_GB2312" w:hint="eastAsia"/>
          <w:sz w:val="24"/>
          <w:szCs w:val="24"/>
        </w:rPr>
        <w:t>仪器单台（套）价值达到规定价值。</w:t>
      </w:r>
    </w:p>
    <w:p w:rsidR="004C66BD" w:rsidRDefault="004C66BD" w:rsidP="004C66BD">
      <w:pPr>
        <w:numPr>
          <w:ilvl w:val="0"/>
          <w:numId w:val="1"/>
        </w:numPr>
        <w:spacing w:line="360" w:lineRule="auto"/>
        <w:rPr>
          <w:rFonts w:ascii="楷体_GB2312" w:eastAsia="楷体_GB2312" w:hAnsi="华文细黑"/>
          <w:sz w:val="24"/>
          <w:szCs w:val="24"/>
        </w:rPr>
      </w:pPr>
      <w:r>
        <w:rPr>
          <w:rFonts w:ascii="楷体_GB2312" w:eastAsia="楷体_GB2312" w:hAnsi="华文细黑" w:cs="楷体_GB2312" w:hint="eastAsia"/>
          <w:sz w:val="24"/>
          <w:szCs w:val="24"/>
        </w:rPr>
        <w:lastRenderedPageBreak/>
        <w:t>区域中心为达到大型仪器设备配置合理、技术指标先进、使用效益高的目的，实行动态管理。原则上每年调整一次，做到有进有出。凡符合区域中心入围条件的仪器设备，经申请可纳入区域中心共享运行。对共享使用效率低、故障率高、技术支撑人员不到位的仪器设备，可淘汰出区域中心。</w:t>
      </w:r>
    </w:p>
    <w:p w:rsidR="004C66BD" w:rsidRDefault="004C66BD" w:rsidP="004C66BD">
      <w:pPr>
        <w:spacing w:before="480" w:after="200"/>
        <w:jc w:val="center"/>
        <w:rPr>
          <w:rFonts w:ascii="楷体_GB2312" w:eastAsia="楷体_GB2312"/>
          <w:b/>
          <w:bCs/>
          <w:sz w:val="24"/>
          <w:szCs w:val="24"/>
        </w:rPr>
      </w:pPr>
      <w:bookmarkStart w:id="5" w:name="_Toc194156164"/>
      <w:r>
        <w:rPr>
          <w:rFonts w:ascii="楷体_GB2312" w:eastAsia="楷体_GB2312" w:cs="楷体_GB2312" w:hint="eastAsia"/>
          <w:b/>
          <w:bCs/>
          <w:sz w:val="24"/>
          <w:szCs w:val="24"/>
        </w:rPr>
        <w:t>第四章</w:t>
      </w:r>
      <w:r>
        <w:rPr>
          <w:rFonts w:ascii="楷体_GB2312" w:eastAsia="楷体_GB2312" w:cs="楷体_GB2312"/>
          <w:b/>
          <w:bCs/>
          <w:sz w:val="24"/>
          <w:szCs w:val="24"/>
        </w:rPr>
        <w:t xml:space="preserve">  </w:t>
      </w:r>
      <w:r>
        <w:rPr>
          <w:rFonts w:ascii="楷体_GB2312" w:eastAsia="楷体_GB2312" w:cs="楷体_GB2312" w:hint="eastAsia"/>
          <w:b/>
          <w:bCs/>
          <w:sz w:val="24"/>
          <w:szCs w:val="24"/>
        </w:rPr>
        <w:t>权利和义务</w:t>
      </w:r>
      <w:bookmarkEnd w:id="5"/>
    </w:p>
    <w:p w:rsidR="004C66BD" w:rsidRDefault="004C66BD" w:rsidP="004C66BD">
      <w:pPr>
        <w:numPr>
          <w:ilvl w:val="0"/>
          <w:numId w:val="1"/>
        </w:numPr>
        <w:spacing w:line="360" w:lineRule="auto"/>
        <w:rPr>
          <w:rFonts w:ascii="楷体_GB2312" w:eastAsia="楷体_GB2312" w:hAnsi="华文细黑"/>
          <w:sz w:val="24"/>
          <w:szCs w:val="24"/>
        </w:rPr>
      </w:pPr>
      <w:r>
        <w:rPr>
          <w:rFonts w:ascii="楷体_GB2312" w:eastAsia="楷体_GB2312" w:hAnsi="华文细黑" w:cs="楷体_GB2312" w:hint="eastAsia"/>
          <w:sz w:val="24"/>
          <w:szCs w:val="24"/>
        </w:rPr>
        <w:t>大型仪器设备入围区域中心不缴纳任何费用。</w:t>
      </w:r>
    </w:p>
    <w:p w:rsidR="004C66BD" w:rsidRDefault="004C66BD" w:rsidP="004C66BD">
      <w:pPr>
        <w:numPr>
          <w:ilvl w:val="0"/>
          <w:numId w:val="1"/>
        </w:numPr>
        <w:spacing w:line="360" w:lineRule="auto"/>
        <w:rPr>
          <w:rFonts w:ascii="楷体_GB2312" w:eastAsia="楷体_GB2312" w:hAnsi="华文细黑"/>
          <w:sz w:val="24"/>
          <w:szCs w:val="24"/>
        </w:rPr>
      </w:pPr>
      <w:r>
        <w:rPr>
          <w:rFonts w:ascii="楷体_GB2312" w:eastAsia="楷体_GB2312" w:hAnsi="华文细黑" w:cs="楷体_GB2312" w:hint="eastAsia"/>
          <w:sz w:val="24"/>
          <w:szCs w:val="24"/>
        </w:rPr>
        <w:t>大型仪器设备入围区域中心后享有的权利：</w:t>
      </w:r>
    </w:p>
    <w:p w:rsidR="004C66BD" w:rsidRDefault="004C66BD" w:rsidP="004C66BD">
      <w:pPr>
        <w:numPr>
          <w:ilvl w:val="0"/>
          <w:numId w:val="6"/>
        </w:numPr>
        <w:spacing w:line="360" w:lineRule="auto"/>
        <w:rPr>
          <w:rFonts w:ascii="楷体_GB2312" w:eastAsia="楷体_GB2312" w:hAnsi="华文细黑"/>
          <w:sz w:val="24"/>
          <w:szCs w:val="24"/>
        </w:rPr>
      </w:pPr>
      <w:r>
        <w:rPr>
          <w:rFonts w:ascii="楷体_GB2312" w:eastAsia="楷体_GB2312" w:hAnsi="华文细黑" w:cs="楷体_GB2312" w:hint="eastAsia"/>
          <w:sz w:val="24"/>
          <w:szCs w:val="24"/>
        </w:rPr>
        <w:t>对外服务按规定收取有关费用；</w:t>
      </w:r>
    </w:p>
    <w:p w:rsidR="004C66BD" w:rsidRDefault="004C66BD" w:rsidP="004C66BD">
      <w:pPr>
        <w:numPr>
          <w:ilvl w:val="0"/>
          <w:numId w:val="6"/>
        </w:numPr>
        <w:spacing w:line="360" w:lineRule="auto"/>
        <w:rPr>
          <w:rFonts w:ascii="楷体_GB2312" w:eastAsia="楷体_GB2312" w:hAnsi="华文细黑"/>
          <w:sz w:val="24"/>
          <w:szCs w:val="24"/>
        </w:rPr>
      </w:pPr>
      <w:r>
        <w:rPr>
          <w:rFonts w:ascii="楷体_GB2312" w:eastAsia="楷体_GB2312" w:hAnsi="华文细黑" w:cs="楷体_GB2312" w:hint="eastAsia"/>
          <w:sz w:val="24"/>
          <w:szCs w:val="24"/>
        </w:rPr>
        <w:t>获得运行补贴；</w:t>
      </w:r>
    </w:p>
    <w:p w:rsidR="004C66BD" w:rsidRDefault="004C66BD" w:rsidP="004C66BD">
      <w:pPr>
        <w:numPr>
          <w:ilvl w:val="0"/>
          <w:numId w:val="6"/>
        </w:numPr>
        <w:spacing w:line="360" w:lineRule="auto"/>
        <w:rPr>
          <w:rFonts w:ascii="楷体_GB2312" w:eastAsia="楷体_GB2312" w:hAnsi="华文细黑"/>
          <w:sz w:val="24"/>
          <w:szCs w:val="24"/>
        </w:rPr>
      </w:pPr>
      <w:r>
        <w:rPr>
          <w:rFonts w:ascii="楷体_GB2312" w:eastAsia="楷体_GB2312" w:hAnsi="华文细黑" w:cs="楷体_GB2312" w:hint="eastAsia"/>
          <w:sz w:val="24"/>
          <w:szCs w:val="24"/>
        </w:rPr>
        <w:t>有机会获得新功能开发经费；</w:t>
      </w:r>
    </w:p>
    <w:p w:rsidR="004C66BD" w:rsidRDefault="004C66BD" w:rsidP="004C66BD">
      <w:pPr>
        <w:numPr>
          <w:ilvl w:val="0"/>
          <w:numId w:val="6"/>
        </w:numPr>
        <w:spacing w:line="360" w:lineRule="auto"/>
        <w:rPr>
          <w:rFonts w:ascii="楷体_GB2312" w:eastAsia="楷体_GB2312" w:hAnsi="华文细黑"/>
          <w:sz w:val="24"/>
          <w:szCs w:val="24"/>
        </w:rPr>
      </w:pPr>
      <w:r>
        <w:rPr>
          <w:rFonts w:ascii="楷体_GB2312" w:eastAsia="楷体_GB2312" w:hAnsi="华文细黑" w:cs="楷体_GB2312" w:hint="eastAsia"/>
          <w:sz w:val="24"/>
          <w:szCs w:val="24"/>
        </w:rPr>
        <w:t>参加区域中心学术交流和技术培训等。</w:t>
      </w:r>
    </w:p>
    <w:p w:rsidR="004C66BD" w:rsidRDefault="004C66BD" w:rsidP="004C66BD">
      <w:pPr>
        <w:numPr>
          <w:ilvl w:val="0"/>
          <w:numId w:val="1"/>
        </w:numPr>
        <w:spacing w:line="360" w:lineRule="auto"/>
        <w:rPr>
          <w:rFonts w:ascii="楷体_GB2312" w:eastAsia="楷体_GB2312" w:hAnsi="华文细黑"/>
          <w:sz w:val="24"/>
          <w:szCs w:val="24"/>
        </w:rPr>
      </w:pPr>
      <w:r>
        <w:rPr>
          <w:rFonts w:ascii="楷体_GB2312" w:eastAsia="楷体_GB2312" w:hAnsi="华文细黑" w:cs="楷体_GB2312" w:hint="eastAsia"/>
          <w:sz w:val="24"/>
          <w:szCs w:val="24"/>
        </w:rPr>
        <w:t>大型仪器设备入围区域中心后应尽的义务：</w:t>
      </w:r>
    </w:p>
    <w:p w:rsidR="004C66BD" w:rsidRDefault="004C66BD" w:rsidP="004C66BD">
      <w:pPr>
        <w:numPr>
          <w:ilvl w:val="0"/>
          <w:numId w:val="7"/>
        </w:numPr>
        <w:spacing w:line="360" w:lineRule="auto"/>
        <w:rPr>
          <w:rFonts w:ascii="楷体_GB2312" w:eastAsia="楷体_GB2312" w:hAnsi="华文细黑"/>
          <w:sz w:val="24"/>
          <w:szCs w:val="24"/>
        </w:rPr>
      </w:pPr>
      <w:r>
        <w:rPr>
          <w:rFonts w:ascii="楷体_GB2312" w:eastAsia="楷体_GB2312" w:hAnsi="华文细黑" w:cs="楷体_GB2312" w:hint="eastAsia"/>
          <w:sz w:val="24"/>
          <w:szCs w:val="24"/>
        </w:rPr>
        <w:t>区域中心大型仪器设备必须面向区域中心所有单位开放使用，提供优质的分析测试服务；</w:t>
      </w:r>
    </w:p>
    <w:p w:rsidR="004C66BD" w:rsidRDefault="004C66BD" w:rsidP="004C66BD">
      <w:pPr>
        <w:numPr>
          <w:ilvl w:val="0"/>
          <w:numId w:val="7"/>
        </w:numPr>
        <w:spacing w:line="360" w:lineRule="auto"/>
        <w:rPr>
          <w:rFonts w:ascii="楷体_GB2312" w:eastAsia="楷体_GB2312" w:hAnsi="华文细黑"/>
          <w:sz w:val="24"/>
          <w:szCs w:val="24"/>
        </w:rPr>
      </w:pPr>
      <w:r>
        <w:rPr>
          <w:rFonts w:ascii="楷体_GB2312" w:eastAsia="楷体_GB2312" w:hAnsi="华文细黑" w:cs="楷体_GB2312" w:hint="eastAsia"/>
          <w:sz w:val="24"/>
          <w:szCs w:val="24"/>
        </w:rPr>
        <w:t>为区域中心用户保守技术秘密；</w:t>
      </w:r>
    </w:p>
    <w:p w:rsidR="004C66BD" w:rsidRDefault="004C66BD" w:rsidP="004C66BD">
      <w:pPr>
        <w:numPr>
          <w:ilvl w:val="0"/>
          <w:numId w:val="7"/>
        </w:numPr>
        <w:spacing w:line="360" w:lineRule="auto"/>
        <w:rPr>
          <w:rFonts w:ascii="楷体_GB2312" w:eastAsia="楷体_GB2312" w:hAnsi="华文细黑"/>
          <w:sz w:val="24"/>
          <w:szCs w:val="24"/>
        </w:rPr>
      </w:pPr>
      <w:r>
        <w:rPr>
          <w:rFonts w:ascii="楷体_GB2312" w:eastAsia="楷体_GB2312" w:hAnsi="华文细黑" w:cs="楷体_GB2312" w:hint="eastAsia"/>
          <w:sz w:val="24"/>
          <w:szCs w:val="24"/>
        </w:rPr>
        <w:t>确保仪器设备运行良好，满足用户需求；</w:t>
      </w:r>
    </w:p>
    <w:p w:rsidR="004C66BD" w:rsidRDefault="004C66BD" w:rsidP="004C66BD">
      <w:pPr>
        <w:numPr>
          <w:ilvl w:val="0"/>
          <w:numId w:val="7"/>
        </w:numPr>
        <w:spacing w:line="360" w:lineRule="auto"/>
        <w:rPr>
          <w:rFonts w:ascii="楷体_GB2312" w:eastAsia="楷体_GB2312" w:hAnsi="华文细黑"/>
          <w:sz w:val="24"/>
          <w:szCs w:val="24"/>
        </w:rPr>
      </w:pPr>
      <w:r>
        <w:rPr>
          <w:rFonts w:ascii="楷体_GB2312" w:eastAsia="楷体_GB2312" w:hAnsi="华文细黑" w:cs="楷体_GB2312" w:hint="eastAsia"/>
          <w:sz w:val="24"/>
          <w:szCs w:val="24"/>
        </w:rPr>
        <w:t>无正当理由，不得拒绝接收区域中心用户的测试任务或拒绝区域中心用户前来进行研究工作；</w:t>
      </w:r>
    </w:p>
    <w:p w:rsidR="004C66BD" w:rsidRDefault="004C66BD" w:rsidP="004C66BD">
      <w:pPr>
        <w:numPr>
          <w:ilvl w:val="0"/>
          <w:numId w:val="7"/>
        </w:numPr>
        <w:spacing w:line="360" w:lineRule="auto"/>
        <w:rPr>
          <w:rFonts w:ascii="楷体_GB2312" w:eastAsia="楷体_GB2312" w:hAnsi="华文细黑"/>
          <w:sz w:val="24"/>
          <w:szCs w:val="24"/>
        </w:rPr>
      </w:pPr>
      <w:r>
        <w:rPr>
          <w:rFonts w:ascii="楷体_GB2312" w:eastAsia="楷体_GB2312" w:hAnsi="华文细黑" w:cs="楷体_GB2312" w:hint="eastAsia"/>
          <w:sz w:val="24"/>
          <w:szCs w:val="24"/>
        </w:rPr>
        <w:t>接受管委会的指导和协调。</w:t>
      </w:r>
    </w:p>
    <w:p w:rsidR="004C66BD" w:rsidRDefault="004C66BD" w:rsidP="004C66BD">
      <w:pPr>
        <w:spacing w:before="480" w:after="200"/>
        <w:jc w:val="center"/>
        <w:rPr>
          <w:rFonts w:ascii="楷体_GB2312" w:eastAsia="楷体_GB2312"/>
          <w:b/>
          <w:bCs/>
          <w:sz w:val="24"/>
          <w:szCs w:val="24"/>
        </w:rPr>
      </w:pPr>
      <w:bookmarkStart w:id="6" w:name="_Toc194156165"/>
      <w:r>
        <w:rPr>
          <w:rFonts w:ascii="楷体_GB2312" w:eastAsia="楷体_GB2312" w:cs="楷体_GB2312" w:hint="eastAsia"/>
          <w:b/>
          <w:bCs/>
          <w:sz w:val="24"/>
          <w:szCs w:val="24"/>
        </w:rPr>
        <w:t>第五章</w:t>
      </w:r>
      <w:r>
        <w:rPr>
          <w:rFonts w:ascii="楷体_GB2312" w:eastAsia="楷体_GB2312" w:cs="楷体_GB2312"/>
          <w:b/>
          <w:bCs/>
          <w:sz w:val="24"/>
          <w:szCs w:val="24"/>
        </w:rPr>
        <w:t xml:space="preserve">  </w:t>
      </w:r>
      <w:r>
        <w:rPr>
          <w:rFonts w:ascii="楷体_GB2312" w:eastAsia="楷体_GB2312" w:cs="楷体_GB2312" w:hint="eastAsia"/>
          <w:b/>
          <w:bCs/>
          <w:sz w:val="24"/>
          <w:szCs w:val="24"/>
        </w:rPr>
        <w:t>考核与评估</w:t>
      </w:r>
      <w:bookmarkEnd w:id="6"/>
    </w:p>
    <w:p w:rsidR="004C66BD" w:rsidRDefault="004C66BD" w:rsidP="004C66BD">
      <w:pPr>
        <w:numPr>
          <w:ilvl w:val="0"/>
          <w:numId w:val="1"/>
        </w:numPr>
        <w:spacing w:line="360" w:lineRule="auto"/>
        <w:rPr>
          <w:rFonts w:ascii="楷体_GB2312" w:eastAsia="楷体_GB2312" w:hAnsi="华文细黑"/>
          <w:color w:val="000000"/>
          <w:sz w:val="24"/>
          <w:szCs w:val="24"/>
        </w:rPr>
      </w:pPr>
      <w:r>
        <w:rPr>
          <w:rFonts w:ascii="楷体_GB2312" w:eastAsia="楷体_GB2312" w:hAnsi="华文细黑" w:cs="楷体_GB2312"/>
          <w:color w:val="000000"/>
          <w:sz w:val="24"/>
          <w:szCs w:val="24"/>
        </w:rPr>
        <w:t xml:space="preserve"> </w:t>
      </w:r>
      <w:r>
        <w:rPr>
          <w:rFonts w:ascii="楷体_GB2312" w:eastAsia="楷体_GB2312" w:hAnsi="华文细黑" w:cs="楷体_GB2312" w:hint="eastAsia"/>
          <w:color w:val="000000"/>
          <w:sz w:val="24"/>
          <w:szCs w:val="24"/>
        </w:rPr>
        <w:t>区域中心大型仪器设备的考核结果是确定运行补贴费的依据之一。对区域中心大型仪器设备的考核主要从产出成果（如发表论文、申请专利及获得品种等）、年度使用总机时数（样品数）、对区域中心单位（不包括仪器所在成员单位）服务机时数（样品数）、服务质量（技术水平）和服务态度等方面，采用定量计算和用户评议相结合的方式进行。</w:t>
      </w:r>
    </w:p>
    <w:p w:rsidR="004C66BD" w:rsidRDefault="004C66BD" w:rsidP="004C66BD">
      <w:pPr>
        <w:numPr>
          <w:ilvl w:val="0"/>
          <w:numId w:val="1"/>
        </w:numPr>
        <w:spacing w:line="360" w:lineRule="auto"/>
        <w:rPr>
          <w:rFonts w:ascii="楷体_GB2312" w:eastAsia="楷体_GB2312" w:hAnsi="华文细黑"/>
          <w:color w:val="000000"/>
          <w:sz w:val="24"/>
          <w:szCs w:val="24"/>
        </w:rPr>
      </w:pPr>
      <w:r>
        <w:rPr>
          <w:rFonts w:ascii="楷体_GB2312" w:eastAsia="楷体_GB2312" w:hAnsi="华文细黑" w:cs="楷体_GB2312"/>
          <w:color w:val="000000"/>
          <w:sz w:val="24"/>
          <w:szCs w:val="24"/>
        </w:rPr>
        <w:lastRenderedPageBreak/>
        <w:t xml:space="preserve"> </w:t>
      </w:r>
      <w:r>
        <w:rPr>
          <w:rFonts w:ascii="楷体_GB2312" w:eastAsia="楷体_GB2312" w:hAnsi="华文细黑" w:cs="楷体_GB2312" w:hint="eastAsia"/>
          <w:color w:val="000000"/>
          <w:sz w:val="24"/>
          <w:szCs w:val="24"/>
        </w:rPr>
        <w:t>对申请加入区域中心大型仪器设备的评估主要从仪器性能指标、机组技术水平和单位协作公用服务总体水平等方面进行。</w:t>
      </w:r>
    </w:p>
    <w:p w:rsidR="004C66BD" w:rsidRDefault="004C66BD" w:rsidP="004C66BD">
      <w:pPr>
        <w:spacing w:before="480" w:after="200"/>
        <w:jc w:val="center"/>
        <w:rPr>
          <w:rFonts w:ascii="楷体_GB2312" w:eastAsia="楷体_GB2312"/>
          <w:b/>
          <w:bCs/>
          <w:sz w:val="24"/>
          <w:szCs w:val="24"/>
        </w:rPr>
      </w:pPr>
      <w:bookmarkStart w:id="7" w:name="_Toc194156166"/>
      <w:r>
        <w:rPr>
          <w:rFonts w:ascii="楷体_GB2312" w:eastAsia="楷体_GB2312" w:cs="楷体_GB2312" w:hint="eastAsia"/>
          <w:b/>
          <w:bCs/>
          <w:sz w:val="24"/>
          <w:szCs w:val="24"/>
        </w:rPr>
        <w:t>第六章</w:t>
      </w:r>
      <w:r>
        <w:rPr>
          <w:rFonts w:ascii="楷体_GB2312" w:eastAsia="楷体_GB2312" w:cs="楷体_GB2312"/>
          <w:b/>
          <w:bCs/>
          <w:sz w:val="24"/>
          <w:szCs w:val="24"/>
        </w:rPr>
        <w:t xml:space="preserve">  </w:t>
      </w:r>
      <w:r>
        <w:rPr>
          <w:rFonts w:ascii="楷体_GB2312" w:eastAsia="楷体_GB2312" w:cs="楷体_GB2312" w:hint="eastAsia"/>
          <w:b/>
          <w:bCs/>
          <w:sz w:val="24"/>
          <w:szCs w:val="24"/>
        </w:rPr>
        <w:t>区域中心大型仪器设备使用说明</w:t>
      </w:r>
      <w:bookmarkEnd w:id="7"/>
    </w:p>
    <w:p w:rsidR="004C66BD" w:rsidRDefault="004C66BD" w:rsidP="004C66BD">
      <w:pPr>
        <w:numPr>
          <w:ilvl w:val="0"/>
          <w:numId w:val="1"/>
        </w:numPr>
        <w:spacing w:line="360" w:lineRule="auto"/>
        <w:rPr>
          <w:rFonts w:ascii="楷体_GB2312" w:eastAsia="楷体_GB2312" w:hAnsi="华文细黑"/>
          <w:color w:val="000000"/>
          <w:sz w:val="24"/>
          <w:szCs w:val="24"/>
        </w:rPr>
      </w:pPr>
      <w:r>
        <w:rPr>
          <w:rFonts w:ascii="楷体_GB2312" w:eastAsia="楷体_GB2312" w:hAnsi="华文细黑" w:cs="楷体_GB2312" w:hint="eastAsia"/>
          <w:color w:val="000000"/>
          <w:sz w:val="24"/>
          <w:szCs w:val="24"/>
        </w:rPr>
        <w:t>区域中心大型仪器设备的用户须登录中科院大型仪器设备共享管理系统进行预约，经各成员单位授权审核人审核后完成预约。</w:t>
      </w:r>
    </w:p>
    <w:p w:rsidR="004C66BD" w:rsidRDefault="004C66BD" w:rsidP="004C66BD">
      <w:pPr>
        <w:numPr>
          <w:ilvl w:val="0"/>
          <w:numId w:val="1"/>
        </w:numPr>
        <w:spacing w:line="360" w:lineRule="auto"/>
        <w:rPr>
          <w:rFonts w:ascii="楷体_GB2312" w:eastAsia="楷体_GB2312" w:hAnsi="华文细黑"/>
          <w:color w:val="000000"/>
          <w:sz w:val="24"/>
          <w:szCs w:val="24"/>
        </w:rPr>
      </w:pPr>
      <w:r>
        <w:rPr>
          <w:rFonts w:ascii="楷体_GB2312" w:eastAsia="楷体_GB2312" w:hAnsi="华文细黑" w:cs="楷体_GB2312"/>
          <w:color w:val="000000"/>
          <w:sz w:val="24"/>
          <w:szCs w:val="24"/>
        </w:rPr>
        <w:t xml:space="preserve"> </w:t>
      </w:r>
      <w:r>
        <w:rPr>
          <w:rFonts w:ascii="楷体_GB2312" w:eastAsia="楷体_GB2312" w:hAnsi="华文细黑" w:cs="楷体_GB2312" w:hint="eastAsia"/>
          <w:color w:val="000000"/>
          <w:sz w:val="24"/>
          <w:szCs w:val="24"/>
        </w:rPr>
        <w:t>完成预约的用户，必须按照预约时间使用仪器，并按照公示的标准支付各项费用。</w:t>
      </w:r>
    </w:p>
    <w:p w:rsidR="004C66BD" w:rsidRDefault="004C66BD" w:rsidP="004C66BD">
      <w:pPr>
        <w:numPr>
          <w:ilvl w:val="0"/>
          <w:numId w:val="1"/>
        </w:numPr>
        <w:spacing w:line="360" w:lineRule="auto"/>
        <w:rPr>
          <w:rFonts w:ascii="楷体_GB2312" w:eastAsia="楷体_GB2312" w:hAnsi="华文细黑"/>
          <w:color w:val="000000"/>
          <w:sz w:val="24"/>
          <w:szCs w:val="24"/>
        </w:rPr>
      </w:pPr>
      <w:r>
        <w:rPr>
          <w:rFonts w:ascii="楷体_GB2312" w:eastAsia="楷体_GB2312" w:hAnsi="华文细黑" w:cs="楷体_GB2312"/>
          <w:color w:val="000000"/>
          <w:sz w:val="24"/>
          <w:szCs w:val="24"/>
        </w:rPr>
        <w:t xml:space="preserve"> </w:t>
      </w:r>
      <w:r>
        <w:rPr>
          <w:rFonts w:ascii="楷体_GB2312" w:eastAsia="楷体_GB2312" w:hAnsi="华文细黑" w:cs="楷体_GB2312" w:hint="eastAsia"/>
          <w:color w:val="000000"/>
          <w:sz w:val="24"/>
          <w:szCs w:val="24"/>
        </w:rPr>
        <w:t>鉴于大型仪器设备使用的特殊性，遇有预约机时必须调整的情况，应接受仪器设备管理人员或办公室人员的协调；仪器设备管理人员应积极采取措施避免预约机时的调整。</w:t>
      </w:r>
    </w:p>
    <w:p w:rsidR="004C66BD" w:rsidRDefault="004C66BD" w:rsidP="004C66BD">
      <w:pPr>
        <w:spacing w:before="480" w:after="200"/>
        <w:jc w:val="center"/>
        <w:rPr>
          <w:rFonts w:ascii="楷体_GB2312" w:eastAsia="楷体_GB2312"/>
          <w:b/>
          <w:bCs/>
          <w:sz w:val="24"/>
          <w:szCs w:val="24"/>
        </w:rPr>
      </w:pPr>
      <w:bookmarkStart w:id="8" w:name="_Toc194156167"/>
      <w:r>
        <w:rPr>
          <w:rFonts w:ascii="楷体_GB2312" w:eastAsia="楷体_GB2312" w:cs="楷体_GB2312" w:hint="eastAsia"/>
          <w:b/>
          <w:bCs/>
          <w:sz w:val="24"/>
          <w:szCs w:val="24"/>
        </w:rPr>
        <w:t>第七章</w:t>
      </w:r>
      <w:r>
        <w:rPr>
          <w:rFonts w:ascii="楷体_GB2312" w:eastAsia="楷体_GB2312" w:cs="楷体_GB2312"/>
          <w:b/>
          <w:bCs/>
          <w:sz w:val="24"/>
          <w:szCs w:val="24"/>
        </w:rPr>
        <w:t xml:space="preserve">  </w:t>
      </w:r>
      <w:r>
        <w:rPr>
          <w:rFonts w:ascii="楷体_GB2312" w:eastAsia="楷体_GB2312" w:cs="楷体_GB2312" w:hint="eastAsia"/>
          <w:b/>
          <w:bCs/>
          <w:sz w:val="24"/>
          <w:szCs w:val="24"/>
        </w:rPr>
        <w:t>区域中心大型仪器设备的收费和补贴办法</w:t>
      </w:r>
      <w:bookmarkEnd w:id="8"/>
    </w:p>
    <w:p w:rsidR="004C66BD" w:rsidRDefault="004C66BD" w:rsidP="004C66BD">
      <w:pPr>
        <w:numPr>
          <w:ilvl w:val="0"/>
          <w:numId w:val="1"/>
        </w:numPr>
        <w:spacing w:line="360" w:lineRule="auto"/>
        <w:rPr>
          <w:rFonts w:ascii="楷体_GB2312" w:eastAsia="楷体_GB2312" w:hAnsi="华文细黑"/>
          <w:sz w:val="24"/>
          <w:szCs w:val="24"/>
        </w:rPr>
      </w:pPr>
      <w:r>
        <w:rPr>
          <w:rFonts w:ascii="楷体_GB2312" w:eastAsia="楷体_GB2312" w:hAnsi="华文细黑" w:cs="楷体_GB2312"/>
          <w:sz w:val="24"/>
          <w:szCs w:val="24"/>
        </w:rPr>
        <w:t xml:space="preserve"> </w:t>
      </w:r>
      <w:r>
        <w:rPr>
          <w:rFonts w:ascii="楷体_GB2312" w:eastAsia="楷体_GB2312" w:hAnsi="华文细黑" w:cs="楷体_GB2312" w:hint="eastAsia"/>
          <w:sz w:val="24"/>
          <w:szCs w:val="24"/>
        </w:rPr>
        <w:t>区域中心仪器设备建立统一的服务收费制度及运行费管理办法</w:t>
      </w:r>
      <w:bookmarkStart w:id="9" w:name="sfbz"/>
      <w:r>
        <w:rPr>
          <w:rFonts w:ascii="楷体_GB2312" w:eastAsia="楷体_GB2312" w:hAnsi="华文细黑" w:cs="楷体_GB2312" w:hint="eastAsia"/>
          <w:sz w:val="24"/>
          <w:szCs w:val="24"/>
        </w:rPr>
        <w:t>。</w:t>
      </w:r>
    </w:p>
    <w:bookmarkEnd w:id="9"/>
    <w:p w:rsidR="004C66BD" w:rsidRDefault="004C66BD" w:rsidP="004C66BD">
      <w:pPr>
        <w:numPr>
          <w:ilvl w:val="0"/>
          <w:numId w:val="1"/>
        </w:numPr>
        <w:spacing w:line="360" w:lineRule="auto"/>
        <w:rPr>
          <w:rFonts w:ascii="楷体_GB2312" w:eastAsia="楷体_GB2312" w:hAnsi="华文细黑"/>
          <w:sz w:val="24"/>
          <w:szCs w:val="24"/>
        </w:rPr>
      </w:pPr>
      <w:r>
        <w:rPr>
          <w:rFonts w:ascii="楷体_GB2312" w:eastAsia="楷体_GB2312" w:hAnsi="华文细黑" w:cs="楷体_GB2312"/>
          <w:sz w:val="24"/>
          <w:szCs w:val="24"/>
        </w:rPr>
        <w:t xml:space="preserve"> </w:t>
      </w:r>
      <w:r>
        <w:rPr>
          <w:rFonts w:ascii="楷体_GB2312" w:eastAsia="楷体_GB2312" w:hAnsi="华文细黑" w:cs="楷体_GB2312" w:hint="eastAsia"/>
          <w:sz w:val="24"/>
          <w:szCs w:val="24"/>
        </w:rPr>
        <w:t>各成员单位依照仅收取使用成本费的原则，根据仪器设备运行所需的水电气暖等能源和试剂耗材等支出费用以及日常维护保养费用，并参照国内同类仪器设备收费情况制定出各项仪器设备的收费标准，各项收费在区域中心内部采用统一标准，不再设置仪器所在单位内部各类优惠办法。收费标准汇总后，经管委会批准和公示后执行。</w:t>
      </w:r>
    </w:p>
    <w:p w:rsidR="004C66BD" w:rsidRDefault="004C66BD" w:rsidP="004C66BD">
      <w:pPr>
        <w:numPr>
          <w:ilvl w:val="0"/>
          <w:numId w:val="1"/>
        </w:numPr>
        <w:spacing w:line="360" w:lineRule="auto"/>
        <w:rPr>
          <w:rFonts w:ascii="楷体_GB2312" w:eastAsia="楷体_GB2312" w:hAnsi="华文细黑"/>
          <w:sz w:val="24"/>
          <w:szCs w:val="24"/>
        </w:rPr>
      </w:pPr>
      <w:r>
        <w:rPr>
          <w:rFonts w:ascii="楷体_GB2312" w:eastAsia="楷体_GB2312" w:hAnsi="华文细黑" w:cs="楷体_GB2312" w:hint="eastAsia"/>
          <w:sz w:val="24"/>
          <w:szCs w:val="24"/>
        </w:rPr>
        <w:t>仪器设备运行管理的人员费用和设备维修费用由仪器设备所在的成员单位承担。</w:t>
      </w:r>
    </w:p>
    <w:p w:rsidR="004C66BD" w:rsidRDefault="004C66BD" w:rsidP="004C66BD">
      <w:pPr>
        <w:numPr>
          <w:ilvl w:val="0"/>
          <w:numId w:val="1"/>
        </w:numPr>
        <w:spacing w:line="360" w:lineRule="auto"/>
        <w:rPr>
          <w:rFonts w:ascii="楷体_GB2312" w:eastAsia="楷体_GB2312" w:hAnsi="华文细黑"/>
          <w:sz w:val="24"/>
          <w:szCs w:val="24"/>
        </w:rPr>
      </w:pPr>
      <w:r>
        <w:rPr>
          <w:rFonts w:ascii="楷体_GB2312" w:eastAsia="楷体_GB2312" w:hAnsi="华文细黑" w:cs="楷体_GB2312" w:hint="eastAsia"/>
          <w:sz w:val="24"/>
          <w:szCs w:val="24"/>
        </w:rPr>
        <w:t>区域中心用户在使用仪器设备时应在《仪器使用登记本》上认真填写实验内容并签字，包括使用时间、测试样品数等具体内容，仪器管理员应同时予以签字确认。各用户应根据各仪器设备管理人员的统计和通知及时缴纳各项费用。各仪器设备管理人员每年度按照仪器设备</w:t>
      </w:r>
      <w:r>
        <w:rPr>
          <w:rFonts w:ascii="楷体_GB2312" w:eastAsia="楷体_GB2312" w:hAnsi="华文细黑" w:cs="楷体_GB2312" w:hint="eastAsia"/>
          <w:color w:val="000000"/>
          <w:sz w:val="24"/>
          <w:szCs w:val="24"/>
        </w:rPr>
        <w:t>使用总机时数（样品数）、对区域中心单位（不包括仪器所在成员单位）服务机时数（样品数）和相应的收费</w:t>
      </w:r>
      <w:r>
        <w:rPr>
          <w:rFonts w:ascii="楷体_GB2312" w:eastAsia="楷体_GB2312" w:hAnsi="华文细黑" w:cs="楷体_GB2312" w:hint="eastAsia"/>
          <w:sz w:val="24"/>
          <w:szCs w:val="24"/>
        </w:rPr>
        <w:t>情况统计上报区域中心办公室，区域中心办公室应在每财政年度末公示全部仪器设备收费结果。</w:t>
      </w:r>
    </w:p>
    <w:p w:rsidR="004C66BD" w:rsidRDefault="004C66BD" w:rsidP="004C66BD">
      <w:pPr>
        <w:numPr>
          <w:ilvl w:val="0"/>
          <w:numId w:val="1"/>
        </w:numPr>
        <w:spacing w:line="360" w:lineRule="auto"/>
        <w:rPr>
          <w:rFonts w:ascii="楷体_GB2312" w:eastAsia="楷体_GB2312" w:hAnsi="华文细黑"/>
          <w:sz w:val="24"/>
          <w:szCs w:val="24"/>
        </w:rPr>
      </w:pPr>
      <w:r>
        <w:rPr>
          <w:rFonts w:ascii="楷体_GB2312" w:eastAsia="楷体_GB2312" w:hAnsi="华文细黑" w:cs="楷体_GB2312" w:hint="eastAsia"/>
          <w:sz w:val="24"/>
          <w:szCs w:val="24"/>
        </w:rPr>
        <w:t>区域中心设立“大型仪器设备开放运行补贴”和“大型仪器设备新</w:t>
      </w:r>
      <w:r>
        <w:rPr>
          <w:rFonts w:ascii="楷体_GB2312" w:eastAsia="楷体_GB2312" w:hAnsi="华文细黑" w:cs="楷体_GB2312" w:hint="eastAsia"/>
          <w:sz w:val="24"/>
          <w:szCs w:val="24"/>
        </w:rPr>
        <w:lastRenderedPageBreak/>
        <w:t>功能、新方法开发基金”，促进区域中心大型仪器实行开放和有偿使用。</w:t>
      </w:r>
    </w:p>
    <w:p w:rsidR="004C66BD" w:rsidRDefault="004C66BD" w:rsidP="004C66BD">
      <w:pPr>
        <w:numPr>
          <w:ilvl w:val="0"/>
          <w:numId w:val="1"/>
        </w:numPr>
        <w:spacing w:line="360" w:lineRule="auto"/>
        <w:rPr>
          <w:rFonts w:ascii="楷体_GB2312" w:eastAsia="楷体_GB2312" w:hAnsi="华文细黑"/>
          <w:sz w:val="24"/>
          <w:szCs w:val="24"/>
        </w:rPr>
      </w:pPr>
      <w:r>
        <w:rPr>
          <w:rFonts w:ascii="楷体_GB2312" w:eastAsia="楷体_GB2312" w:hAnsi="华文细黑" w:cs="楷体_GB2312" w:hint="eastAsia"/>
          <w:sz w:val="24"/>
          <w:szCs w:val="24"/>
        </w:rPr>
        <w:t>“大型仪器设备开放运行补贴”和“大型仪器设备新功能、新方法开发基金”每年度由科学院相关功能局拨付广州分院管理，广州分院核拨管委会使用。</w:t>
      </w:r>
    </w:p>
    <w:p w:rsidR="004C66BD" w:rsidRDefault="004C66BD" w:rsidP="004C66BD">
      <w:pPr>
        <w:numPr>
          <w:ilvl w:val="0"/>
          <w:numId w:val="1"/>
        </w:numPr>
        <w:spacing w:line="360" w:lineRule="auto"/>
        <w:rPr>
          <w:rFonts w:ascii="楷体_GB2312" w:eastAsia="楷体_GB2312" w:hAnsi="华文细黑"/>
          <w:sz w:val="24"/>
          <w:szCs w:val="24"/>
        </w:rPr>
      </w:pPr>
      <w:r>
        <w:rPr>
          <w:rFonts w:ascii="楷体_GB2312" w:eastAsia="楷体_GB2312" w:hAnsi="华文细黑" w:cs="楷体_GB2312" w:hint="eastAsia"/>
          <w:sz w:val="24"/>
          <w:szCs w:val="24"/>
        </w:rPr>
        <w:t>“大型仪器设备开放运行补贴”采用补贴方式发放。补贴依据以经过公示的各仪器组</w:t>
      </w:r>
      <w:r>
        <w:rPr>
          <w:rFonts w:ascii="楷体_GB2312" w:eastAsia="楷体_GB2312" w:hAnsi="华文细黑" w:cs="楷体_GB2312" w:hint="eastAsia"/>
          <w:color w:val="000000"/>
          <w:sz w:val="24"/>
          <w:szCs w:val="24"/>
        </w:rPr>
        <w:t>对区域中心单位（不包括仪器所在成员单位）服务机时数（样品数）和相应的收费</w:t>
      </w:r>
      <w:r>
        <w:rPr>
          <w:rFonts w:ascii="楷体_GB2312" w:eastAsia="楷体_GB2312" w:hAnsi="华文细黑" w:cs="楷体_GB2312" w:hint="eastAsia"/>
          <w:sz w:val="24"/>
          <w:szCs w:val="24"/>
        </w:rPr>
        <w:t>统计数额为基数，</w:t>
      </w:r>
      <w:r>
        <w:rPr>
          <w:rFonts w:ascii="楷体_GB2312" w:eastAsia="楷体_GB2312" w:hAnsi="华文细黑" w:cs="楷体_GB2312" w:hint="eastAsia"/>
          <w:color w:val="000000"/>
          <w:sz w:val="24"/>
          <w:szCs w:val="24"/>
        </w:rPr>
        <w:t>给与适当比例的补贴数额，但各仪器设备补贴总额超过年度基金总额时，按照比例缩减。</w:t>
      </w:r>
    </w:p>
    <w:p w:rsidR="004C66BD" w:rsidRDefault="004C66BD" w:rsidP="004C66BD">
      <w:pPr>
        <w:numPr>
          <w:ilvl w:val="0"/>
          <w:numId w:val="1"/>
        </w:numPr>
        <w:spacing w:line="360" w:lineRule="auto"/>
        <w:rPr>
          <w:rFonts w:ascii="楷体_GB2312" w:eastAsia="楷体_GB2312" w:hAnsi="华文细黑"/>
          <w:color w:val="000000"/>
          <w:sz w:val="24"/>
          <w:szCs w:val="24"/>
        </w:rPr>
      </w:pPr>
      <w:r>
        <w:rPr>
          <w:rFonts w:ascii="楷体_GB2312" w:eastAsia="楷体_GB2312" w:hAnsi="华文细黑" w:cs="楷体_GB2312" w:hint="eastAsia"/>
          <w:color w:val="000000"/>
          <w:sz w:val="24"/>
          <w:szCs w:val="24"/>
        </w:rPr>
        <w:t>“大型仪器设备新功能、新方法开发基金”的管理办法详见《广州生命科学大型仪器区域中心大型仪器设备新功能、新方法开发基金管理办法》。</w:t>
      </w:r>
    </w:p>
    <w:p w:rsidR="004C66BD" w:rsidRDefault="004C66BD" w:rsidP="004C66BD">
      <w:pPr>
        <w:numPr>
          <w:ilvl w:val="0"/>
          <w:numId w:val="1"/>
        </w:numPr>
        <w:spacing w:line="360" w:lineRule="auto"/>
        <w:rPr>
          <w:rFonts w:ascii="楷体_GB2312" w:eastAsia="楷体_GB2312" w:hAnsi="华文细黑"/>
          <w:sz w:val="24"/>
          <w:szCs w:val="24"/>
        </w:rPr>
      </w:pPr>
      <w:r>
        <w:rPr>
          <w:rFonts w:ascii="楷体_GB2312" w:eastAsia="楷体_GB2312" w:hAnsi="华文细黑" w:cs="楷体_GB2312" w:hint="eastAsia"/>
          <w:sz w:val="24"/>
          <w:szCs w:val="24"/>
        </w:rPr>
        <w:t>开发基金不得挪作他用。如改变用途，须由管委会批准后方可使用。</w:t>
      </w:r>
    </w:p>
    <w:p w:rsidR="004C66BD" w:rsidRDefault="004C66BD" w:rsidP="004C66BD">
      <w:pPr>
        <w:spacing w:before="480" w:after="200"/>
        <w:jc w:val="center"/>
        <w:rPr>
          <w:rFonts w:ascii="楷体_GB2312" w:eastAsia="楷体_GB2312"/>
          <w:b/>
          <w:bCs/>
          <w:sz w:val="24"/>
          <w:szCs w:val="24"/>
        </w:rPr>
      </w:pPr>
      <w:bookmarkStart w:id="10" w:name="_Toc194156168"/>
      <w:r>
        <w:rPr>
          <w:rFonts w:ascii="楷体_GB2312" w:eastAsia="楷体_GB2312" w:cs="楷体_GB2312" w:hint="eastAsia"/>
          <w:b/>
          <w:bCs/>
          <w:sz w:val="24"/>
          <w:szCs w:val="24"/>
        </w:rPr>
        <w:t>第八章</w:t>
      </w:r>
      <w:r>
        <w:rPr>
          <w:rFonts w:ascii="楷体_GB2312" w:eastAsia="楷体_GB2312" w:cs="楷体_GB2312"/>
          <w:b/>
          <w:bCs/>
          <w:sz w:val="24"/>
          <w:szCs w:val="24"/>
        </w:rPr>
        <w:t xml:space="preserve">  </w:t>
      </w:r>
      <w:r>
        <w:rPr>
          <w:rFonts w:ascii="楷体_GB2312" w:eastAsia="楷体_GB2312" w:cs="楷体_GB2312" w:hint="eastAsia"/>
          <w:b/>
          <w:bCs/>
          <w:sz w:val="24"/>
          <w:szCs w:val="24"/>
        </w:rPr>
        <w:t>奖励与处罚</w:t>
      </w:r>
      <w:bookmarkEnd w:id="10"/>
    </w:p>
    <w:p w:rsidR="004C66BD" w:rsidRDefault="004C66BD" w:rsidP="004C66BD">
      <w:pPr>
        <w:numPr>
          <w:ilvl w:val="0"/>
          <w:numId w:val="1"/>
        </w:numPr>
        <w:spacing w:line="360" w:lineRule="auto"/>
        <w:rPr>
          <w:rFonts w:ascii="楷体_GB2312" w:eastAsia="楷体_GB2312" w:hAnsi="华文细黑"/>
          <w:sz w:val="24"/>
          <w:szCs w:val="24"/>
        </w:rPr>
      </w:pPr>
      <w:r>
        <w:rPr>
          <w:rFonts w:ascii="楷体_GB2312" w:eastAsia="楷体_GB2312" w:hAnsi="华文细黑" w:cs="楷体_GB2312" w:hint="eastAsia"/>
          <w:sz w:val="24"/>
          <w:szCs w:val="24"/>
        </w:rPr>
        <w:t>管委会将对大型仪器设备开放使用情况进行跟踪考核，根据年度公示结果，对优秀仪器设备管理机组和个人给予表彰。对于不履行本办法第十三条规定的仪器机组或个人，或者在绩效统计过程中有弄虚作假行为的，将扣发补贴</w:t>
      </w:r>
      <w:r>
        <w:rPr>
          <w:rFonts w:ascii="楷体_GB2312" w:eastAsia="楷体_GB2312" w:hAnsi="华文细黑" w:cs="楷体_GB2312"/>
          <w:sz w:val="24"/>
          <w:szCs w:val="24"/>
        </w:rPr>
        <w:t>/</w:t>
      </w:r>
      <w:r>
        <w:rPr>
          <w:rFonts w:ascii="楷体_GB2312" w:eastAsia="楷体_GB2312" w:hAnsi="华文细黑" w:cs="楷体_GB2312" w:hint="eastAsia"/>
          <w:sz w:val="24"/>
          <w:szCs w:val="24"/>
        </w:rPr>
        <w:t>基金或追缴补贴</w:t>
      </w:r>
      <w:r>
        <w:rPr>
          <w:rFonts w:ascii="楷体_GB2312" w:eastAsia="楷体_GB2312" w:hAnsi="华文细黑" w:cs="楷体_GB2312"/>
          <w:sz w:val="24"/>
          <w:szCs w:val="24"/>
        </w:rPr>
        <w:t>/</w:t>
      </w:r>
      <w:r>
        <w:rPr>
          <w:rFonts w:ascii="楷体_GB2312" w:eastAsia="楷体_GB2312" w:hAnsi="华文细黑" w:cs="楷体_GB2312" w:hint="eastAsia"/>
          <w:sz w:val="24"/>
          <w:szCs w:val="24"/>
        </w:rPr>
        <w:t>基金，直至取消该项仪器设备的入围资格。</w:t>
      </w:r>
    </w:p>
    <w:p w:rsidR="004C66BD" w:rsidRDefault="004C66BD" w:rsidP="004C66BD">
      <w:pPr>
        <w:spacing w:before="480" w:after="200"/>
        <w:jc w:val="center"/>
        <w:rPr>
          <w:rFonts w:ascii="楷体_GB2312" w:eastAsia="楷体_GB2312"/>
          <w:b/>
          <w:bCs/>
          <w:sz w:val="24"/>
          <w:szCs w:val="24"/>
        </w:rPr>
      </w:pPr>
      <w:bookmarkStart w:id="11" w:name="_Toc194156169"/>
      <w:r>
        <w:rPr>
          <w:rFonts w:ascii="楷体_GB2312" w:eastAsia="楷体_GB2312" w:cs="楷体_GB2312" w:hint="eastAsia"/>
          <w:b/>
          <w:bCs/>
          <w:sz w:val="24"/>
          <w:szCs w:val="24"/>
        </w:rPr>
        <w:t>第九章</w:t>
      </w:r>
      <w:r>
        <w:rPr>
          <w:rFonts w:ascii="楷体_GB2312" w:eastAsia="楷体_GB2312" w:cs="楷体_GB2312"/>
          <w:b/>
          <w:bCs/>
          <w:sz w:val="24"/>
          <w:szCs w:val="24"/>
        </w:rPr>
        <w:t xml:space="preserve">  </w:t>
      </w:r>
      <w:r>
        <w:rPr>
          <w:rFonts w:ascii="楷体_GB2312" w:eastAsia="楷体_GB2312" w:cs="楷体_GB2312" w:hint="eastAsia"/>
          <w:b/>
          <w:bCs/>
          <w:sz w:val="24"/>
          <w:szCs w:val="24"/>
        </w:rPr>
        <w:t>附则</w:t>
      </w:r>
      <w:bookmarkEnd w:id="11"/>
    </w:p>
    <w:p w:rsidR="004C66BD" w:rsidRDefault="004C66BD" w:rsidP="004C66BD">
      <w:pPr>
        <w:numPr>
          <w:ilvl w:val="0"/>
          <w:numId w:val="1"/>
        </w:numPr>
        <w:spacing w:line="360" w:lineRule="auto"/>
        <w:rPr>
          <w:rFonts w:ascii="楷体_GB2312" w:eastAsia="楷体_GB2312" w:hAnsi="华文细黑"/>
          <w:sz w:val="24"/>
          <w:szCs w:val="24"/>
        </w:rPr>
      </w:pPr>
      <w:r>
        <w:rPr>
          <w:rFonts w:ascii="楷体_GB2312" w:eastAsia="楷体_GB2312" w:hAnsi="华文细黑" w:cs="楷体_GB2312"/>
          <w:sz w:val="24"/>
          <w:szCs w:val="24"/>
        </w:rPr>
        <w:t xml:space="preserve">  </w:t>
      </w:r>
      <w:r>
        <w:rPr>
          <w:rFonts w:ascii="楷体_GB2312" w:eastAsia="楷体_GB2312" w:hAnsi="华文细黑" w:cs="楷体_GB2312" w:hint="eastAsia"/>
          <w:sz w:val="24"/>
          <w:szCs w:val="24"/>
        </w:rPr>
        <w:t>本办法由区域中心管委会负责解释。</w:t>
      </w:r>
    </w:p>
    <w:p w:rsidR="004C66BD" w:rsidRDefault="004C66BD" w:rsidP="004C66BD">
      <w:pPr>
        <w:numPr>
          <w:ilvl w:val="0"/>
          <w:numId w:val="1"/>
        </w:numPr>
        <w:spacing w:line="360" w:lineRule="auto"/>
        <w:rPr>
          <w:rFonts w:ascii="楷体_GB2312" w:eastAsia="楷体_GB2312" w:hAnsi="华文细黑"/>
          <w:sz w:val="24"/>
          <w:szCs w:val="24"/>
        </w:rPr>
      </w:pPr>
      <w:r>
        <w:rPr>
          <w:rFonts w:ascii="楷体_GB2312" w:eastAsia="楷体_GB2312" w:hAnsi="华文细黑" w:cs="楷体_GB2312"/>
          <w:sz w:val="24"/>
          <w:szCs w:val="24"/>
        </w:rPr>
        <w:t xml:space="preserve">     </w:t>
      </w:r>
      <w:r>
        <w:rPr>
          <w:rFonts w:ascii="楷体_GB2312" w:eastAsia="楷体_GB2312" w:hAnsi="华文细黑" w:cs="楷体_GB2312" w:hint="eastAsia"/>
          <w:sz w:val="24"/>
          <w:szCs w:val="24"/>
        </w:rPr>
        <w:t>本办法自发布之日起执行。</w:t>
      </w:r>
    </w:p>
    <w:p w:rsidR="004C66BD" w:rsidRDefault="004C66BD" w:rsidP="004C66BD">
      <w:pPr>
        <w:rPr>
          <w:rFonts w:ascii="楷体_GB2312" w:eastAsia="楷体_GB2312"/>
          <w:sz w:val="24"/>
          <w:szCs w:val="24"/>
        </w:rPr>
      </w:pPr>
    </w:p>
    <w:p w:rsidR="004C66BD" w:rsidRDefault="004C66BD" w:rsidP="004C66BD">
      <w:pPr>
        <w:rPr>
          <w:rFonts w:ascii="楷体_GB2312" w:eastAsia="楷体_GB2312"/>
          <w:sz w:val="24"/>
          <w:szCs w:val="24"/>
        </w:rPr>
      </w:pPr>
    </w:p>
    <w:p w:rsidR="004C66BD" w:rsidRDefault="004C66BD" w:rsidP="004C66BD">
      <w:pPr>
        <w:rPr>
          <w:rFonts w:ascii="楷体_GB2312" w:eastAsia="楷体_GB2312"/>
          <w:sz w:val="24"/>
          <w:szCs w:val="24"/>
        </w:rPr>
      </w:pPr>
    </w:p>
    <w:p w:rsidR="004C66BD" w:rsidRDefault="004C66BD" w:rsidP="004C66BD">
      <w:pPr>
        <w:rPr>
          <w:rFonts w:ascii="楷体_GB2312" w:eastAsia="楷体_GB2312"/>
          <w:sz w:val="24"/>
          <w:szCs w:val="24"/>
        </w:rPr>
      </w:pPr>
    </w:p>
    <w:p w:rsidR="00B37A11" w:rsidRPr="004C66BD" w:rsidRDefault="00B37A11"/>
    <w:sectPr w:rsidR="00B37A11" w:rsidRPr="004C66BD" w:rsidSect="00B37A1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48D" w:rsidRDefault="004C048D" w:rsidP="00B017D9">
      <w:r>
        <w:separator/>
      </w:r>
    </w:p>
  </w:endnote>
  <w:endnote w:type="continuationSeparator" w:id="0">
    <w:p w:rsidR="004C048D" w:rsidRDefault="004C048D" w:rsidP="00B01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20000287" w:usb1="00000000" w:usb2="00000000" w:usb3="00000000" w:csb0="000001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D83" w:rsidRDefault="00B017D9">
    <w:pPr>
      <w:pStyle w:val="a8"/>
      <w:framePr w:h="0" w:wrap="around" w:vAnchor="text" w:hAnchor="margin" w:xAlign="center" w:yAlign="top"/>
      <w:pBdr>
        <w:between w:val="none" w:sz="50" w:space="0" w:color="auto"/>
      </w:pBdr>
      <w:rPr>
        <w:rStyle w:val="11"/>
      </w:rPr>
    </w:pPr>
    <w:r>
      <w:fldChar w:fldCharType="begin"/>
    </w:r>
    <w:r w:rsidR="004C66BD">
      <w:rPr>
        <w:rStyle w:val="a4"/>
      </w:rPr>
      <w:instrText xml:space="preserve"> PAGE  </w:instrText>
    </w:r>
    <w:r>
      <w:fldChar w:fldCharType="separate"/>
    </w:r>
    <w:r w:rsidR="00062922">
      <w:rPr>
        <w:rStyle w:val="a4"/>
        <w:noProof/>
      </w:rPr>
      <w:t>1</w:t>
    </w:r>
    <w:r>
      <w:fldChar w:fldCharType="end"/>
    </w:r>
  </w:p>
  <w:p w:rsidR="00843D83" w:rsidRDefault="004C048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48D" w:rsidRDefault="004C048D" w:rsidP="00B017D9">
      <w:r>
        <w:separator/>
      </w:r>
    </w:p>
  </w:footnote>
  <w:footnote w:type="continuationSeparator" w:id="0">
    <w:p w:rsidR="004C048D" w:rsidRDefault="004C048D" w:rsidP="00B017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1590"/>
        </w:tabs>
        <w:ind w:left="1590" w:hanging="420"/>
      </w:pPr>
      <w:rPr>
        <w:rFonts w:cs="Times New Roman"/>
      </w:rPr>
    </w:lvl>
    <w:lvl w:ilvl="1">
      <w:start w:val="1"/>
      <w:numFmt w:val="lowerLetter"/>
      <w:lvlText w:val="%2)"/>
      <w:lvlJc w:val="left"/>
      <w:pPr>
        <w:tabs>
          <w:tab w:val="num" w:pos="2010"/>
        </w:tabs>
        <w:ind w:left="2010" w:hanging="420"/>
      </w:pPr>
      <w:rPr>
        <w:rFonts w:cs="Times New Roman"/>
      </w:rPr>
    </w:lvl>
    <w:lvl w:ilvl="2">
      <w:start w:val="1"/>
      <w:numFmt w:val="lowerRoman"/>
      <w:lvlText w:val="%3."/>
      <w:lvlJc w:val="right"/>
      <w:pPr>
        <w:tabs>
          <w:tab w:val="num" w:pos="2430"/>
        </w:tabs>
        <w:ind w:left="2430" w:hanging="420"/>
      </w:pPr>
      <w:rPr>
        <w:rFonts w:cs="Times New Roman"/>
      </w:rPr>
    </w:lvl>
    <w:lvl w:ilvl="3">
      <w:start w:val="1"/>
      <w:numFmt w:val="decimal"/>
      <w:lvlText w:val="%4."/>
      <w:lvlJc w:val="left"/>
      <w:pPr>
        <w:tabs>
          <w:tab w:val="num" w:pos="2850"/>
        </w:tabs>
        <w:ind w:left="2850" w:hanging="420"/>
      </w:pPr>
      <w:rPr>
        <w:rFonts w:cs="Times New Roman"/>
      </w:rPr>
    </w:lvl>
    <w:lvl w:ilvl="4">
      <w:start w:val="1"/>
      <w:numFmt w:val="lowerLetter"/>
      <w:lvlText w:val="%5)"/>
      <w:lvlJc w:val="left"/>
      <w:pPr>
        <w:tabs>
          <w:tab w:val="num" w:pos="3270"/>
        </w:tabs>
        <w:ind w:left="3270" w:hanging="420"/>
      </w:pPr>
      <w:rPr>
        <w:rFonts w:cs="Times New Roman"/>
      </w:rPr>
    </w:lvl>
    <w:lvl w:ilvl="5">
      <w:start w:val="1"/>
      <w:numFmt w:val="lowerRoman"/>
      <w:lvlText w:val="%6."/>
      <w:lvlJc w:val="right"/>
      <w:pPr>
        <w:tabs>
          <w:tab w:val="num" w:pos="3690"/>
        </w:tabs>
        <w:ind w:left="3690" w:hanging="420"/>
      </w:pPr>
      <w:rPr>
        <w:rFonts w:cs="Times New Roman"/>
      </w:rPr>
    </w:lvl>
    <w:lvl w:ilvl="6">
      <w:start w:val="1"/>
      <w:numFmt w:val="decimal"/>
      <w:lvlText w:val="%7."/>
      <w:lvlJc w:val="left"/>
      <w:pPr>
        <w:tabs>
          <w:tab w:val="num" w:pos="4110"/>
        </w:tabs>
        <w:ind w:left="4110" w:hanging="420"/>
      </w:pPr>
      <w:rPr>
        <w:rFonts w:cs="Times New Roman"/>
      </w:rPr>
    </w:lvl>
    <w:lvl w:ilvl="7">
      <w:start w:val="1"/>
      <w:numFmt w:val="lowerLetter"/>
      <w:lvlText w:val="%8)"/>
      <w:lvlJc w:val="left"/>
      <w:pPr>
        <w:tabs>
          <w:tab w:val="num" w:pos="4530"/>
        </w:tabs>
        <w:ind w:left="4530" w:hanging="420"/>
      </w:pPr>
      <w:rPr>
        <w:rFonts w:cs="Times New Roman"/>
      </w:rPr>
    </w:lvl>
    <w:lvl w:ilvl="8">
      <w:start w:val="1"/>
      <w:numFmt w:val="lowerRoman"/>
      <w:lvlText w:val="%9."/>
      <w:lvlJc w:val="right"/>
      <w:pPr>
        <w:tabs>
          <w:tab w:val="num" w:pos="4950"/>
        </w:tabs>
        <w:ind w:left="4950" w:hanging="420"/>
      </w:pPr>
      <w:rPr>
        <w:rFonts w:cs="Times New Roman"/>
      </w:rPr>
    </w:lvl>
  </w:abstractNum>
  <w:abstractNum w:abstractNumId="1">
    <w:nsid w:val="00000003"/>
    <w:multiLevelType w:val="multilevel"/>
    <w:tmpl w:val="00000003"/>
    <w:lvl w:ilvl="0">
      <w:start w:val="1"/>
      <w:numFmt w:val="decimal"/>
      <w:lvlText w:val="%1."/>
      <w:lvlJc w:val="left"/>
      <w:pPr>
        <w:tabs>
          <w:tab w:val="num" w:pos="1590"/>
        </w:tabs>
        <w:ind w:left="1590" w:hanging="420"/>
      </w:pPr>
      <w:rPr>
        <w:rFonts w:cs="Times New Roman"/>
      </w:rPr>
    </w:lvl>
    <w:lvl w:ilvl="1">
      <w:start w:val="1"/>
      <w:numFmt w:val="lowerLetter"/>
      <w:lvlText w:val="%2)"/>
      <w:lvlJc w:val="left"/>
      <w:pPr>
        <w:tabs>
          <w:tab w:val="num" w:pos="2010"/>
        </w:tabs>
        <w:ind w:left="2010" w:hanging="420"/>
      </w:pPr>
      <w:rPr>
        <w:rFonts w:cs="Times New Roman"/>
      </w:rPr>
    </w:lvl>
    <w:lvl w:ilvl="2">
      <w:start w:val="1"/>
      <w:numFmt w:val="lowerRoman"/>
      <w:lvlText w:val="%3."/>
      <w:lvlJc w:val="right"/>
      <w:pPr>
        <w:tabs>
          <w:tab w:val="num" w:pos="2430"/>
        </w:tabs>
        <w:ind w:left="2430" w:hanging="420"/>
      </w:pPr>
      <w:rPr>
        <w:rFonts w:cs="Times New Roman"/>
      </w:rPr>
    </w:lvl>
    <w:lvl w:ilvl="3">
      <w:start w:val="1"/>
      <w:numFmt w:val="decimal"/>
      <w:lvlText w:val="%4."/>
      <w:lvlJc w:val="left"/>
      <w:pPr>
        <w:tabs>
          <w:tab w:val="num" w:pos="2850"/>
        </w:tabs>
        <w:ind w:left="2850" w:hanging="420"/>
      </w:pPr>
      <w:rPr>
        <w:rFonts w:cs="Times New Roman"/>
      </w:rPr>
    </w:lvl>
    <w:lvl w:ilvl="4">
      <w:start w:val="1"/>
      <w:numFmt w:val="lowerLetter"/>
      <w:lvlText w:val="%5)"/>
      <w:lvlJc w:val="left"/>
      <w:pPr>
        <w:tabs>
          <w:tab w:val="num" w:pos="3270"/>
        </w:tabs>
        <w:ind w:left="3270" w:hanging="420"/>
      </w:pPr>
      <w:rPr>
        <w:rFonts w:cs="Times New Roman"/>
      </w:rPr>
    </w:lvl>
    <w:lvl w:ilvl="5">
      <w:start w:val="1"/>
      <w:numFmt w:val="lowerRoman"/>
      <w:lvlText w:val="%6."/>
      <w:lvlJc w:val="right"/>
      <w:pPr>
        <w:tabs>
          <w:tab w:val="num" w:pos="3690"/>
        </w:tabs>
        <w:ind w:left="3690" w:hanging="420"/>
      </w:pPr>
      <w:rPr>
        <w:rFonts w:cs="Times New Roman"/>
      </w:rPr>
    </w:lvl>
    <w:lvl w:ilvl="6">
      <w:start w:val="1"/>
      <w:numFmt w:val="decimal"/>
      <w:lvlText w:val="%7."/>
      <w:lvlJc w:val="left"/>
      <w:pPr>
        <w:tabs>
          <w:tab w:val="num" w:pos="4110"/>
        </w:tabs>
        <w:ind w:left="4110" w:hanging="420"/>
      </w:pPr>
      <w:rPr>
        <w:rFonts w:cs="Times New Roman"/>
      </w:rPr>
    </w:lvl>
    <w:lvl w:ilvl="7">
      <w:start w:val="1"/>
      <w:numFmt w:val="lowerLetter"/>
      <w:lvlText w:val="%8)"/>
      <w:lvlJc w:val="left"/>
      <w:pPr>
        <w:tabs>
          <w:tab w:val="num" w:pos="4530"/>
        </w:tabs>
        <w:ind w:left="4530" w:hanging="420"/>
      </w:pPr>
      <w:rPr>
        <w:rFonts w:cs="Times New Roman"/>
      </w:rPr>
    </w:lvl>
    <w:lvl w:ilvl="8">
      <w:start w:val="1"/>
      <w:numFmt w:val="lowerRoman"/>
      <w:lvlText w:val="%9."/>
      <w:lvlJc w:val="right"/>
      <w:pPr>
        <w:tabs>
          <w:tab w:val="num" w:pos="4950"/>
        </w:tabs>
        <w:ind w:left="4950" w:hanging="420"/>
      </w:pPr>
      <w:rPr>
        <w:rFonts w:cs="Times New Roman"/>
      </w:rPr>
    </w:lvl>
  </w:abstractNum>
  <w:abstractNum w:abstractNumId="2">
    <w:nsid w:val="00000004"/>
    <w:multiLevelType w:val="multilevel"/>
    <w:tmpl w:val="00000004"/>
    <w:lvl w:ilvl="0">
      <w:start w:val="1"/>
      <w:numFmt w:val="decimal"/>
      <w:lvlText w:val="%1."/>
      <w:lvlJc w:val="left"/>
      <w:pPr>
        <w:tabs>
          <w:tab w:val="num" w:pos="1590"/>
        </w:tabs>
        <w:ind w:left="1590" w:hanging="420"/>
      </w:pPr>
      <w:rPr>
        <w:rFonts w:cs="Times New Roman"/>
      </w:rPr>
    </w:lvl>
    <w:lvl w:ilvl="1">
      <w:start w:val="1"/>
      <w:numFmt w:val="lowerLetter"/>
      <w:lvlText w:val="%2)"/>
      <w:lvlJc w:val="left"/>
      <w:pPr>
        <w:tabs>
          <w:tab w:val="num" w:pos="2010"/>
        </w:tabs>
        <w:ind w:left="2010" w:hanging="420"/>
      </w:pPr>
      <w:rPr>
        <w:rFonts w:cs="Times New Roman"/>
      </w:rPr>
    </w:lvl>
    <w:lvl w:ilvl="2">
      <w:start w:val="1"/>
      <w:numFmt w:val="lowerRoman"/>
      <w:lvlText w:val="%3."/>
      <w:lvlJc w:val="right"/>
      <w:pPr>
        <w:tabs>
          <w:tab w:val="num" w:pos="2430"/>
        </w:tabs>
        <w:ind w:left="2430" w:hanging="420"/>
      </w:pPr>
      <w:rPr>
        <w:rFonts w:cs="Times New Roman"/>
      </w:rPr>
    </w:lvl>
    <w:lvl w:ilvl="3">
      <w:start w:val="1"/>
      <w:numFmt w:val="decimal"/>
      <w:lvlText w:val="%4."/>
      <w:lvlJc w:val="left"/>
      <w:pPr>
        <w:tabs>
          <w:tab w:val="num" w:pos="2850"/>
        </w:tabs>
        <w:ind w:left="2850" w:hanging="420"/>
      </w:pPr>
      <w:rPr>
        <w:rFonts w:cs="Times New Roman"/>
      </w:rPr>
    </w:lvl>
    <w:lvl w:ilvl="4">
      <w:start w:val="1"/>
      <w:numFmt w:val="lowerLetter"/>
      <w:lvlText w:val="%5)"/>
      <w:lvlJc w:val="left"/>
      <w:pPr>
        <w:tabs>
          <w:tab w:val="num" w:pos="3270"/>
        </w:tabs>
        <w:ind w:left="3270" w:hanging="420"/>
      </w:pPr>
      <w:rPr>
        <w:rFonts w:cs="Times New Roman"/>
      </w:rPr>
    </w:lvl>
    <w:lvl w:ilvl="5">
      <w:start w:val="1"/>
      <w:numFmt w:val="lowerRoman"/>
      <w:lvlText w:val="%6."/>
      <w:lvlJc w:val="right"/>
      <w:pPr>
        <w:tabs>
          <w:tab w:val="num" w:pos="3690"/>
        </w:tabs>
        <w:ind w:left="3690" w:hanging="420"/>
      </w:pPr>
      <w:rPr>
        <w:rFonts w:cs="Times New Roman"/>
      </w:rPr>
    </w:lvl>
    <w:lvl w:ilvl="6">
      <w:start w:val="1"/>
      <w:numFmt w:val="decimal"/>
      <w:lvlText w:val="%7."/>
      <w:lvlJc w:val="left"/>
      <w:pPr>
        <w:tabs>
          <w:tab w:val="num" w:pos="4110"/>
        </w:tabs>
        <w:ind w:left="4110" w:hanging="420"/>
      </w:pPr>
      <w:rPr>
        <w:rFonts w:cs="Times New Roman"/>
      </w:rPr>
    </w:lvl>
    <w:lvl w:ilvl="7">
      <w:start w:val="1"/>
      <w:numFmt w:val="lowerLetter"/>
      <w:lvlText w:val="%8)"/>
      <w:lvlJc w:val="left"/>
      <w:pPr>
        <w:tabs>
          <w:tab w:val="num" w:pos="4530"/>
        </w:tabs>
        <w:ind w:left="4530" w:hanging="420"/>
      </w:pPr>
      <w:rPr>
        <w:rFonts w:cs="Times New Roman"/>
      </w:rPr>
    </w:lvl>
    <w:lvl w:ilvl="8">
      <w:start w:val="1"/>
      <w:numFmt w:val="lowerRoman"/>
      <w:lvlText w:val="%9."/>
      <w:lvlJc w:val="right"/>
      <w:pPr>
        <w:tabs>
          <w:tab w:val="num" w:pos="4950"/>
        </w:tabs>
        <w:ind w:left="4950" w:hanging="420"/>
      </w:pPr>
      <w:rPr>
        <w:rFonts w:cs="Times New Roman"/>
      </w:rPr>
    </w:lvl>
  </w:abstractNum>
  <w:abstractNum w:abstractNumId="3">
    <w:nsid w:val="00000005"/>
    <w:multiLevelType w:val="multilevel"/>
    <w:tmpl w:val="00000005"/>
    <w:lvl w:ilvl="0">
      <w:start w:val="1"/>
      <w:numFmt w:val="japaneseCounting"/>
      <w:lvlText w:val="第%1条"/>
      <w:lvlJc w:val="left"/>
      <w:pPr>
        <w:tabs>
          <w:tab w:val="num" w:pos="1170"/>
        </w:tabs>
        <w:ind w:left="1170" w:hanging="1170"/>
      </w:pPr>
      <w:rPr>
        <w:rFonts w:cs="Times New Roman" w:hint="default"/>
        <w:b/>
        <w:bCs/>
      </w:rPr>
    </w:lvl>
    <w:lvl w:ilvl="1">
      <w:start w:val="1"/>
      <w:numFmt w:val="lowerLetter"/>
      <w:lvlText w:val="%2)"/>
      <w:lvlJc w:val="left"/>
      <w:pPr>
        <w:tabs>
          <w:tab w:val="num" w:pos="840"/>
        </w:tabs>
        <w:ind w:left="840" w:hanging="420"/>
      </w:pPr>
      <w:rPr>
        <w:rFonts w:cs="Times New Roman"/>
      </w:rPr>
    </w:lvl>
    <w:lvl w:ilvl="2">
      <w:start w:val="1"/>
      <w:numFmt w:val="decimal"/>
      <w:lvlText w:val="%3."/>
      <w:lvlJc w:val="left"/>
      <w:pPr>
        <w:tabs>
          <w:tab w:val="num" w:pos="1560"/>
        </w:tabs>
        <w:ind w:left="1560" w:hanging="720"/>
      </w:pPr>
      <w:rPr>
        <w:rFonts w:ascii="仿宋_GB2312" w:eastAsia="仿宋_GB2312" w:hAnsi="Times New Roman"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00000006"/>
    <w:multiLevelType w:val="multilevel"/>
    <w:tmpl w:val="00000006"/>
    <w:lvl w:ilvl="0">
      <w:start w:val="1"/>
      <w:numFmt w:val="decimal"/>
      <w:lvlText w:val="%1."/>
      <w:lvlJc w:val="left"/>
      <w:pPr>
        <w:tabs>
          <w:tab w:val="num" w:pos="1590"/>
        </w:tabs>
        <w:ind w:left="1590" w:hanging="420"/>
      </w:pPr>
      <w:rPr>
        <w:rFonts w:cs="Times New Roman"/>
      </w:rPr>
    </w:lvl>
    <w:lvl w:ilvl="1">
      <w:start w:val="1"/>
      <w:numFmt w:val="lowerLetter"/>
      <w:lvlText w:val="%2)"/>
      <w:lvlJc w:val="left"/>
      <w:pPr>
        <w:tabs>
          <w:tab w:val="num" w:pos="2010"/>
        </w:tabs>
        <w:ind w:left="2010" w:hanging="420"/>
      </w:pPr>
      <w:rPr>
        <w:rFonts w:cs="Times New Roman"/>
      </w:rPr>
    </w:lvl>
    <w:lvl w:ilvl="2">
      <w:start w:val="1"/>
      <w:numFmt w:val="lowerRoman"/>
      <w:lvlText w:val="%3."/>
      <w:lvlJc w:val="right"/>
      <w:pPr>
        <w:tabs>
          <w:tab w:val="num" w:pos="2430"/>
        </w:tabs>
        <w:ind w:left="2430" w:hanging="420"/>
      </w:pPr>
      <w:rPr>
        <w:rFonts w:cs="Times New Roman"/>
      </w:rPr>
    </w:lvl>
    <w:lvl w:ilvl="3">
      <w:start w:val="1"/>
      <w:numFmt w:val="decimal"/>
      <w:lvlText w:val="%4."/>
      <w:lvlJc w:val="left"/>
      <w:pPr>
        <w:tabs>
          <w:tab w:val="num" w:pos="2850"/>
        </w:tabs>
        <w:ind w:left="2850" w:hanging="420"/>
      </w:pPr>
      <w:rPr>
        <w:rFonts w:cs="Times New Roman"/>
      </w:rPr>
    </w:lvl>
    <w:lvl w:ilvl="4">
      <w:start w:val="1"/>
      <w:numFmt w:val="lowerLetter"/>
      <w:lvlText w:val="%5)"/>
      <w:lvlJc w:val="left"/>
      <w:pPr>
        <w:tabs>
          <w:tab w:val="num" w:pos="3270"/>
        </w:tabs>
        <w:ind w:left="3270" w:hanging="420"/>
      </w:pPr>
      <w:rPr>
        <w:rFonts w:cs="Times New Roman"/>
      </w:rPr>
    </w:lvl>
    <w:lvl w:ilvl="5">
      <w:start w:val="1"/>
      <w:numFmt w:val="lowerRoman"/>
      <w:lvlText w:val="%6."/>
      <w:lvlJc w:val="right"/>
      <w:pPr>
        <w:tabs>
          <w:tab w:val="num" w:pos="3690"/>
        </w:tabs>
        <w:ind w:left="3690" w:hanging="420"/>
      </w:pPr>
      <w:rPr>
        <w:rFonts w:cs="Times New Roman"/>
      </w:rPr>
    </w:lvl>
    <w:lvl w:ilvl="6">
      <w:start w:val="1"/>
      <w:numFmt w:val="decimal"/>
      <w:lvlText w:val="%7."/>
      <w:lvlJc w:val="left"/>
      <w:pPr>
        <w:tabs>
          <w:tab w:val="num" w:pos="4110"/>
        </w:tabs>
        <w:ind w:left="4110" w:hanging="420"/>
      </w:pPr>
      <w:rPr>
        <w:rFonts w:cs="Times New Roman"/>
      </w:rPr>
    </w:lvl>
    <w:lvl w:ilvl="7">
      <w:start w:val="1"/>
      <w:numFmt w:val="lowerLetter"/>
      <w:lvlText w:val="%8)"/>
      <w:lvlJc w:val="left"/>
      <w:pPr>
        <w:tabs>
          <w:tab w:val="num" w:pos="4530"/>
        </w:tabs>
        <w:ind w:left="4530" w:hanging="420"/>
      </w:pPr>
      <w:rPr>
        <w:rFonts w:cs="Times New Roman"/>
      </w:rPr>
    </w:lvl>
    <w:lvl w:ilvl="8">
      <w:start w:val="1"/>
      <w:numFmt w:val="lowerRoman"/>
      <w:lvlText w:val="%9."/>
      <w:lvlJc w:val="right"/>
      <w:pPr>
        <w:tabs>
          <w:tab w:val="num" w:pos="4950"/>
        </w:tabs>
        <w:ind w:left="4950" w:hanging="420"/>
      </w:pPr>
      <w:rPr>
        <w:rFonts w:cs="Times New Roman"/>
      </w:rPr>
    </w:lvl>
  </w:abstractNum>
  <w:abstractNum w:abstractNumId="5">
    <w:nsid w:val="00000008"/>
    <w:multiLevelType w:val="multilevel"/>
    <w:tmpl w:val="00000008"/>
    <w:lvl w:ilvl="0">
      <w:start w:val="1"/>
      <w:numFmt w:val="decimal"/>
      <w:lvlText w:val="%1."/>
      <w:lvlJc w:val="left"/>
      <w:pPr>
        <w:tabs>
          <w:tab w:val="num" w:pos="1680"/>
        </w:tabs>
        <w:ind w:left="1680" w:hanging="420"/>
      </w:pPr>
      <w:rPr>
        <w:rFonts w:cs="Times New Roman"/>
      </w:rPr>
    </w:lvl>
    <w:lvl w:ilvl="1">
      <w:start w:val="1"/>
      <w:numFmt w:val="japaneseCounting"/>
      <w:lvlText w:val="%2、"/>
      <w:lvlJc w:val="left"/>
      <w:pPr>
        <w:tabs>
          <w:tab w:val="num" w:pos="2070"/>
        </w:tabs>
        <w:ind w:left="2070" w:hanging="480"/>
      </w:pPr>
      <w:rPr>
        <w:rFonts w:cs="Times New Roman" w:hint="default"/>
      </w:rPr>
    </w:lvl>
    <w:lvl w:ilvl="2">
      <w:start w:val="1"/>
      <w:numFmt w:val="lowerRoman"/>
      <w:lvlText w:val="%3."/>
      <w:lvlJc w:val="right"/>
      <w:pPr>
        <w:tabs>
          <w:tab w:val="num" w:pos="2430"/>
        </w:tabs>
        <w:ind w:left="2430" w:hanging="420"/>
      </w:pPr>
      <w:rPr>
        <w:rFonts w:cs="Times New Roman"/>
      </w:rPr>
    </w:lvl>
    <w:lvl w:ilvl="3">
      <w:start w:val="1"/>
      <w:numFmt w:val="decimal"/>
      <w:lvlText w:val="%4."/>
      <w:lvlJc w:val="left"/>
      <w:pPr>
        <w:tabs>
          <w:tab w:val="num" w:pos="2850"/>
        </w:tabs>
        <w:ind w:left="2850" w:hanging="420"/>
      </w:pPr>
      <w:rPr>
        <w:rFonts w:cs="Times New Roman"/>
      </w:rPr>
    </w:lvl>
    <w:lvl w:ilvl="4">
      <w:start w:val="1"/>
      <w:numFmt w:val="lowerLetter"/>
      <w:lvlText w:val="%5)"/>
      <w:lvlJc w:val="left"/>
      <w:pPr>
        <w:tabs>
          <w:tab w:val="num" w:pos="3270"/>
        </w:tabs>
        <w:ind w:left="3270" w:hanging="420"/>
      </w:pPr>
      <w:rPr>
        <w:rFonts w:cs="Times New Roman"/>
      </w:rPr>
    </w:lvl>
    <w:lvl w:ilvl="5">
      <w:start w:val="1"/>
      <w:numFmt w:val="lowerRoman"/>
      <w:lvlText w:val="%6."/>
      <w:lvlJc w:val="right"/>
      <w:pPr>
        <w:tabs>
          <w:tab w:val="num" w:pos="3690"/>
        </w:tabs>
        <w:ind w:left="3690" w:hanging="420"/>
      </w:pPr>
      <w:rPr>
        <w:rFonts w:cs="Times New Roman"/>
      </w:rPr>
    </w:lvl>
    <w:lvl w:ilvl="6">
      <w:start w:val="1"/>
      <w:numFmt w:val="decimal"/>
      <w:lvlText w:val="%7."/>
      <w:lvlJc w:val="left"/>
      <w:pPr>
        <w:tabs>
          <w:tab w:val="num" w:pos="4110"/>
        </w:tabs>
        <w:ind w:left="4110" w:hanging="420"/>
      </w:pPr>
      <w:rPr>
        <w:rFonts w:cs="Times New Roman"/>
      </w:rPr>
    </w:lvl>
    <w:lvl w:ilvl="7">
      <w:start w:val="1"/>
      <w:numFmt w:val="lowerLetter"/>
      <w:lvlText w:val="%8)"/>
      <w:lvlJc w:val="left"/>
      <w:pPr>
        <w:tabs>
          <w:tab w:val="num" w:pos="4530"/>
        </w:tabs>
        <w:ind w:left="4530" w:hanging="420"/>
      </w:pPr>
      <w:rPr>
        <w:rFonts w:cs="Times New Roman"/>
      </w:rPr>
    </w:lvl>
    <w:lvl w:ilvl="8">
      <w:start w:val="1"/>
      <w:numFmt w:val="lowerRoman"/>
      <w:lvlText w:val="%9."/>
      <w:lvlJc w:val="right"/>
      <w:pPr>
        <w:tabs>
          <w:tab w:val="num" w:pos="4950"/>
        </w:tabs>
        <w:ind w:left="4950" w:hanging="420"/>
      </w:pPr>
      <w:rPr>
        <w:rFonts w:cs="Times New Roman"/>
      </w:rPr>
    </w:lvl>
  </w:abstractNum>
  <w:abstractNum w:abstractNumId="6">
    <w:nsid w:val="00000009"/>
    <w:multiLevelType w:val="multilevel"/>
    <w:tmpl w:val="00000009"/>
    <w:lvl w:ilvl="0">
      <w:start w:val="1"/>
      <w:numFmt w:val="japaneseCounting"/>
      <w:lvlText w:val="第%1条"/>
      <w:lvlJc w:val="left"/>
      <w:pPr>
        <w:tabs>
          <w:tab w:val="num" w:pos="1021"/>
        </w:tabs>
        <w:ind w:left="1021" w:hanging="1021"/>
      </w:pPr>
      <w:rPr>
        <w:rFonts w:ascii="宋体" w:eastAsia="宋体" w:cs="Times New Roman" w:hint="default"/>
        <w:b/>
        <w:bCs/>
        <w:color w:val="000000"/>
      </w:rPr>
    </w:lvl>
    <w:lvl w:ilvl="1">
      <w:start w:val="2"/>
      <w:numFmt w:val="japaneseCounting"/>
      <w:lvlText w:val="第%2章"/>
      <w:lvlJc w:val="left"/>
      <w:pPr>
        <w:tabs>
          <w:tab w:val="num" w:pos="1320"/>
        </w:tabs>
        <w:ind w:left="1320" w:hanging="900"/>
      </w:pPr>
      <w:rPr>
        <w:rFonts w:cs="Times New Roman" w:hint="default"/>
      </w:rPr>
    </w:lvl>
    <w:lvl w:ilvl="2">
      <w:start w:val="1"/>
      <w:numFmt w:val="decimal"/>
      <w:lvlText w:val="%3."/>
      <w:lvlJc w:val="left"/>
      <w:pPr>
        <w:tabs>
          <w:tab w:val="num" w:pos="1200"/>
        </w:tabs>
        <w:ind w:left="1200" w:hanging="360"/>
      </w:pPr>
      <w:rPr>
        <w:rFonts w:ascii="宋体" w:eastAsia="宋体" w:cs="Times New Roman" w:hint="default"/>
      </w:rPr>
    </w:lvl>
    <w:lvl w:ilvl="3">
      <w:start w:val="5"/>
      <w:numFmt w:val="decimal"/>
      <w:lvlText w:val="%4"/>
      <w:lvlJc w:val="left"/>
      <w:pPr>
        <w:tabs>
          <w:tab w:val="num" w:pos="1620"/>
        </w:tabs>
        <w:ind w:left="1620" w:hanging="360"/>
      </w:pPr>
      <w:rPr>
        <w:rFonts w:cs="Times New Roman" w:hint="default"/>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0000000A"/>
    <w:multiLevelType w:val="multilevel"/>
    <w:tmpl w:val="0000000A"/>
    <w:lvl w:ilvl="0">
      <w:start w:val="1"/>
      <w:numFmt w:val="decimal"/>
      <w:lvlText w:val="%1."/>
      <w:lvlJc w:val="left"/>
      <w:pPr>
        <w:tabs>
          <w:tab w:val="num" w:pos="1500"/>
        </w:tabs>
        <w:ind w:left="1500" w:hanging="420"/>
      </w:pPr>
      <w:rPr>
        <w:rFonts w:cs="Times New Roman"/>
      </w:rPr>
    </w:lvl>
    <w:lvl w:ilvl="1">
      <w:start w:val="1"/>
      <w:numFmt w:val="lowerLetter"/>
      <w:lvlText w:val="%2)"/>
      <w:lvlJc w:val="left"/>
      <w:pPr>
        <w:tabs>
          <w:tab w:val="num" w:pos="2010"/>
        </w:tabs>
        <w:ind w:left="2010" w:hanging="420"/>
      </w:pPr>
      <w:rPr>
        <w:rFonts w:cs="Times New Roman"/>
      </w:rPr>
    </w:lvl>
    <w:lvl w:ilvl="2">
      <w:start w:val="1"/>
      <w:numFmt w:val="lowerRoman"/>
      <w:lvlText w:val="%3."/>
      <w:lvlJc w:val="right"/>
      <w:pPr>
        <w:tabs>
          <w:tab w:val="num" w:pos="2430"/>
        </w:tabs>
        <w:ind w:left="2430" w:hanging="420"/>
      </w:pPr>
      <w:rPr>
        <w:rFonts w:cs="Times New Roman"/>
      </w:rPr>
    </w:lvl>
    <w:lvl w:ilvl="3">
      <w:start w:val="1"/>
      <w:numFmt w:val="decimal"/>
      <w:lvlText w:val="%4."/>
      <w:lvlJc w:val="left"/>
      <w:pPr>
        <w:tabs>
          <w:tab w:val="num" w:pos="2850"/>
        </w:tabs>
        <w:ind w:left="2850" w:hanging="420"/>
      </w:pPr>
      <w:rPr>
        <w:rFonts w:cs="Times New Roman"/>
      </w:rPr>
    </w:lvl>
    <w:lvl w:ilvl="4">
      <w:start w:val="1"/>
      <w:numFmt w:val="lowerLetter"/>
      <w:lvlText w:val="%5)"/>
      <w:lvlJc w:val="left"/>
      <w:pPr>
        <w:tabs>
          <w:tab w:val="num" w:pos="3270"/>
        </w:tabs>
        <w:ind w:left="3270" w:hanging="420"/>
      </w:pPr>
      <w:rPr>
        <w:rFonts w:cs="Times New Roman"/>
      </w:rPr>
    </w:lvl>
    <w:lvl w:ilvl="5">
      <w:start w:val="1"/>
      <w:numFmt w:val="lowerRoman"/>
      <w:lvlText w:val="%6."/>
      <w:lvlJc w:val="right"/>
      <w:pPr>
        <w:tabs>
          <w:tab w:val="num" w:pos="3690"/>
        </w:tabs>
        <w:ind w:left="3690" w:hanging="420"/>
      </w:pPr>
      <w:rPr>
        <w:rFonts w:cs="Times New Roman"/>
      </w:rPr>
    </w:lvl>
    <w:lvl w:ilvl="6">
      <w:start w:val="1"/>
      <w:numFmt w:val="decimal"/>
      <w:lvlText w:val="%7."/>
      <w:lvlJc w:val="left"/>
      <w:pPr>
        <w:tabs>
          <w:tab w:val="num" w:pos="4110"/>
        </w:tabs>
        <w:ind w:left="4110" w:hanging="420"/>
      </w:pPr>
      <w:rPr>
        <w:rFonts w:cs="Times New Roman"/>
      </w:rPr>
    </w:lvl>
    <w:lvl w:ilvl="7">
      <w:start w:val="1"/>
      <w:numFmt w:val="lowerLetter"/>
      <w:lvlText w:val="%8)"/>
      <w:lvlJc w:val="left"/>
      <w:pPr>
        <w:tabs>
          <w:tab w:val="num" w:pos="4530"/>
        </w:tabs>
        <w:ind w:left="4530" w:hanging="420"/>
      </w:pPr>
      <w:rPr>
        <w:rFonts w:cs="Times New Roman"/>
      </w:rPr>
    </w:lvl>
    <w:lvl w:ilvl="8">
      <w:start w:val="1"/>
      <w:numFmt w:val="lowerRoman"/>
      <w:lvlText w:val="%9."/>
      <w:lvlJc w:val="right"/>
      <w:pPr>
        <w:tabs>
          <w:tab w:val="num" w:pos="4950"/>
        </w:tabs>
        <w:ind w:left="4950" w:hanging="420"/>
      </w:pPr>
      <w:rPr>
        <w:rFonts w:cs="Times New Roman"/>
      </w:rPr>
    </w:lvl>
  </w:abstractNum>
  <w:abstractNum w:abstractNumId="8">
    <w:nsid w:val="0000000C"/>
    <w:multiLevelType w:val="multilevel"/>
    <w:tmpl w:val="0000000C"/>
    <w:lvl w:ilvl="0">
      <w:start w:val="4"/>
      <w:numFmt w:val="japaneseCounting"/>
      <w:lvlText w:val="第%1章"/>
      <w:lvlJc w:val="left"/>
      <w:pPr>
        <w:tabs>
          <w:tab w:val="num" w:pos="900"/>
        </w:tabs>
        <w:ind w:left="900" w:hanging="900"/>
      </w:pPr>
      <w:rPr>
        <w:rFonts w:cs="Times New Roman" w:hint="default"/>
        <w:b/>
        <w:bCs/>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9">
    <w:nsid w:val="0000000E"/>
    <w:multiLevelType w:val="multilevel"/>
    <w:tmpl w:val="0000000E"/>
    <w:lvl w:ilvl="0">
      <w:start w:val="1"/>
      <w:numFmt w:val="japaneseCounting"/>
      <w:lvlText w:val="第%1条"/>
      <w:lvlJc w:val="left"/>
      <w:pPr>
        <w:tabs>
          <w:tab w:val="num" w:pos="1170"/>
        </w:tabs>
        <w:ind w:left="1170" w:hanging="1170"/>
      </w:pPr>
      <w:rPr>
        <w:rFonts w:cs="Times New Roman" w:hint="default"/>
        <w:b/>
        <w:bCs/>
      </w:rPr>
    </w:lvl>
    <w:lvl w:ilvl="1">
      <w:start w:val="1"/>
      <w:numFmt w:val="decimal"/>
      <w:lvlText w:val="%2."/>
      <w:lvlJc w:val="left"/>
      <w:pPr>
        <w:tabs>
          <w:tab w:val="num" w:pos="418"/>
        </w:tabs>
        <w:ind w:left="418" w:hanging="420"/>
      </w:pPr>
      <w:rPr>
        <w:rFonts w:cs="Times New Roman" w:hint="default"/>
        <w:b/>
        <w:bCs/>
      </w:rPr>
    </w:lvl>
    <w:lvl w:ilvl="2">
      <w:start w:val="1"/>
      <w:numFmt w:val="decimal"/>
      <w:lvlText w:val="%3、"/>
      <w:lvlJc w:val="left"/>
      <w:pPr>
        <w:tabs>
          <w:tab w:val="num" w:pos="1138"/>
        </w:tabs>
        <w:ind w:left="1138" w:hanging="720"/>
      </w:pPr>
      <w:rPr>
        <w:rFonts w:cs="Times New Roman" w:hint="default"/>
      </w:rPr>
    </w:lvl>
    <w:lvl w:ilvl="3">
      <w:start w:val="1"/>
      <w:numFmt w:val="decimal"/>
      <w:lvlText w:val="%4."/>
      <w:lvlJc w:val="left"/>
      <w:pPr>
        <w:tabs>
          <w:tab w:val="num" w:pos="1258"/>
        </w:tabs>
        <w:ind w:left="1258" w:hanging="420"/>
      </w:pPr>
      <w:rPr>
        <w:rFonts w:cs="Times New Roman"/>
      </w:rPr>
    </w:lvl>
    <w:lvl w:ilvl="4">
      <w:start w:val="1"/>
      <w:numFmt w:val="lowerLetter"/>
      <w:lvlText w:val="%5)"/>
      <w:lvlJc w:val="left"/>
      <w:pPr>
        <w:tabs>
          <w:tab w:val="num" w:pos="1678"/>
        </w:tabs>
        <w:ind w:left="1678" w:hanging="420"/>
      </w:pPr>
      <w:rPr>
        <w:rFonts w:cs="Times New Roman"/>
      </w:rPr>
    </w:lvl>
    <w:lvl w:ilvl="5">
      <w:start w:val="1"/>
      <w:numFmt w:val="lowerRoman"/>
      <w:lvlText w:val="%6."/>
      <w:lvlJc w:val="right"/>
      <w:pPr>
        <w:tabs>
          <w:tab w:val="num" w:pos="2098"/>
        </w:tabs>
        <w:ind w:left="2098" w:hanging="420"/>
      </w:pPr>
      <w:rPr>
        <w:rFonts w:cs="Times New Roman"/>
      </w:rPr>
    </w:lvl>
    <w:lvl w:ilvl="6">
      <w:start w:val="1"/>
      <w:numFmt w:val="decimal"/>
      <w:lvlText w:val="%7."/>
      <w:lvlJc w:val="left"/>
      <w:pPr>
        <w:tabs>
          <w:tab w:val="num" w:pos="2518"/>
        </w:tabs>
        <w:ind w:left="2518" w:hanging="420"/>
      </w:pPr>
      <w:rPr>
        <w:rFonts w:cs="Times New Roman"/>
      </w:rPr>
    </w:lvl>
    <w:lvl w:ilvl="7">
      <w:start w:val="1"/>
      <w:numFmt w:val="lowerLetter"/>
      <w:lvlText w:val="%8)"/>
      <w:lvlJc w:val="left"/>
      <w:pPr>
        <w:tabs>
          <w:tab w:val="num" w:pos="2938"/>
        </w:tabs>
        <w:ind w:left="2938" w:hanging="420"/>
      </w:pPr>
      <w:rPr>
        <w:rFonts w:cs="Times New Roman"/>
      </w:rPr>
    </w:lvl>
    <w:lvl w:ilvl="8">
      <w:start w:val="1"/>
      <w:numFmt w:val="lowerRoman"/>
      <w:lvlText w:val="%9."/>
      <w:lvlJc w:val="right"/>
      <w:pPr>
        <w:tabs>
          <w:tab w:val="num" w:pos="3358"/>
        </w:tabs>
        <w:ind w:left="3358" w:hanging="420"/>
      </w:pPr>
      <w:rPr>
        <w:rFonts w:cs="Times New Roman"/>
      </w:rPr>
    </w:lvl>
  </w:abstractNum>
  <w:num w:numId="1">
    <w:abstractNumId w:val="9"/>
  </w:num>
  <w:num w:numId="2">
    <w:abstractNumId w:val="1"/>
  </w:num>
  <w:num w:numId="3">
    <w:abstractNumId w:val="2"/>
  </w:num>
  <w:num w:numId="4">
    <w:abstractNumId w:val="0"/>
  </w:num>
  <w:num w:numId="5">
    <w:abstractNumId w:val="7"/>
  </w:num>
  <w:num w:numId="6">
    <w:abstractNumId w:val="5"/>
  </w:num>
  <w:num w:numId="7">
    <w:abstractNumId w:val="4"/>
  </w:num>
  <w:num w:numId="8">
    <w:abstractNumId w:val="3"/>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66BD"/>
    <w:rsid w:val="00062922"/>
    <w:rsid w:val="004C048D"/>
    <w:rsid w:val="004C66BD"/>
    <w:rsid w:val="00B017D9"/>
    <w:rsid w:val="00B37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6BD"/>
    <w:pPr>
      <w:widowControl w:val="0"/>
      <w:jc w:val="both"/>
    </w:pPr>
    <w:rPr>
      <w:rFonts w:ascii="Times New Roman" w:eastAsia="宋体" w:hAnsi="Times New Roman" w:cs="Times New Roman"/>
      <w:szCs w:val="21"/>
    </w:rPr>
  </w:style>
  <w:style w:type="paragraph" w:styleId="1">
    <w:name w:val="heading 1"/>
    <w:basedOn w:val="2"/>
    <w:next w:val="a"/>
    <w:link w:val="1Char"/>
    <w:qFormat/>
    <w:rsid w:val="004C66BD"/>
    <w:pPr>
      <w:spacing w:before="340" w:after="330" w:line="576" w:lineRule="auto"/>
      <w:outlineLvl w:val="0"/>
    </w:pPr>
    <w:rPr>
      <w:kern w:val="44"/>
      <w:sz w:val="44"/>
      <w:szCs w:val="44"/>
    </w:rPr>
  </w:style>
  <w:style w:type="paragraph" w:styleId="2">
    <w:name w:val="heading 2"/>
    <w:basedOn w:val="a"/>
    <w:next w:val="a"/>
    <w:link w:val="2Char"/>
    <w:qFormat/>
    <w:rsid w:val="004C66BD"/>
    <w:pPr>
      <w:keepNext/>
      <w:keepLines/>
      <w:spacing w:before="260" w:after="260" w:line="413" w:lineRule="auto"/>
      <w:outlineLvl w:val="1"/>
    </w:pPr>
    <w:rPr>
      <w:rFonts w:ascii="Cambria" w:eastAsia="楷体_GB2312" w:hAnsi="Cambria"/>
      <w:b/>
      <w:bCs/>
      <w:sz w:val="32"/>
      <w:szCs w:val="32"/>
    </w:rPr>
  </w:style>
  <w:style w:type="paragraph" w:styleId="3">
    <w:name w:val="heading 3"/>
    <w:basedOn w:val="a"/>
    <w:next w:val="a"/>
    <w:link w:val="3Char"/>
    <w:qFormat/>
    <w:rsid w:val="004C66BD"/>
    <w:pPr>
      <w:keepNext/>
      <w:keepLines/>
      <w:spacing w:before="260" w:after="260" w:line="413" w:lineRule="auto"/>
      <w:outlineLvl w:val="2"/>
    </w:pPr>
    <w:rPr>
      <w:rFonts w:eastAsia="楷体_GB2312"/>
      <w:sz w:val="32"/>
      <w:szCs w:val="32"/>
    </w:rPr>
  </w:style>
  <w:style w:type="paragraph" w:styleId="4">
    <w:name w:val="heading 4"/>
    <w:basedOn w:val="a"/>
    <w:next w:val="a"/>
    <w:link w:val="4Char"/>
    <w:qFormat/>
    <w:rsid w:val="004C66BD"/>
    <w:pPr>
      <w:keepNext/>
      <w:keepLines/>
      <w:spacing w:before="280" w:after="290"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C66BD"/>
    <w:rPr>
      <w:rFonts w:ascii="Cambria" w:eastAsia="楷体_GB2312" w:hAnsi="Cambria" w:cs="Times New Roman"/>
      <w:b/>
      <w:bCs/>
      <w:kern w:val="44"/>
      <w:sz w:val="44"/>
      <w:szCs w:val="44"/>
    </w:rPr>
  </w:style>
  <w:style w:type="character" w:customStyle="1" w:styleId="2Char">
    <w:name w:val="标题 2 Char"/>
    <w:basedOn w:val="a0"/>
    <w:link w:val="2"/>
    <w:rsid w:val="004C66BD"/>
    <w:rPr>
      <w:rFonts w:ascii="Cambria" w:eastAsia="楷体_GB2312" w:hAnsi="Cambria" w:cs="Times New Roman"/>
      <w:b/>
      <w:bCs/>
      <w:sz w:val="32"/>
      <w:szCs w:val="32"/>
    </w:rPr>
  </w:style>
  <w:style w:type="character" w:customStyle="1" w:styleId="3Char">
    <w:name w:val="标题 3 Char"/>
    <w:basedOn w:val="a0"/>
    <w:link w:val="3"/>
    <w:rsid w:val="004C66BD"/>
    <w:rPr>
      <w:rFonts w:ascii="Times New Roman" w:eastAsia="楷体_GB2312" w:hAnsi="Times New Roman" w:cs="Times New Roman"/>
      <w:sz w:val="32"/>
      <w:szCs w:val="32"/>
    </w:rPr>
  </w:style>
  <w:style w:type="character" w:customStyle="1" w:styleId="4Char">
    <w:name w:val="标题 4 Char"/>
    <w:basedOn w:val="a0"/>
    <w:link w:val="4"/>
    <w:rsid w:val="004C66BD"/>
    <w:rPr>
      <w:rFonts w:ascii="Arial" w:eastAsia="黑体" w:hAnsi="Arial" w:cs="Times New Roman"/>
      <w:b/>
      <w:bCs/>
      <w:sz w:val="28"/>
      <w:szCs w:val="28"/>
    </w:rPr>
  </w:style>
  <w:style w:type="character" w:customStyle="1" w:styleId="PlainTextChar">
    <w:name w:val="Plain Text Char"/>
    <w:link w:val="10"/>
    <w:rsid w:val="004C66BD"/>
    <w:rPr>
      <w:rFonts w:ascii="宋体" w:hAnsi="Courier New" w:cs="宋体"/>
      <w:szCs w:val="21"/>
    </w:rPr>
  </w:style>
  <w:style w:type="character" w:customStyle="1" w:styleId="Char">
    <w:name w:val="批注文字 Char"/>
    <w:link w:val="a3"/>
    <w:rsid w:val="004C66BD"/>
    <w:rPr>
      <w:rFonts w:cs="Times New Roman"/>
      <w:szCs w:val="21"/>
    </w:rPr>
  </w:style>
  <w:style w:type="character" w:customStyle="1" w:styleId="apple-style-span">
    <w:name w:val="apple-style-span"/>
    <w:rsid w:val="004C66BD"/>
    <w:rPr>
      <w:rFonts w:cs="Times New Roman"/>
    </w:rPr>
  </w:style>
  <w:style w:type="character" w:styleId="a4">
    <w:name w:val="page number"/>
    <w:basedOn w:val="a0"/>
    <w:rsid w:val="004C66BD"/>
  </w:style>
  <w:style w:type="character" w:customStyle="1" w:styleId="HTMLPreformattedChar">
    <w:name w:val="HTML Preformatted Char"/>
    <w:link w:val="HTML1"/>
    <w:rsid w:val="004C66BD"/>
    <w:rPr>
      <w:rFonts w:ascii="宋体" w:eastAsia="宋体" w:cs="宋体"/>
      <w:sz w:val="24"/>
      <w:szCs w:val="24"/>
    </w:rPr>
  </w:style>
  <w:style w:type="character" w:styleId="a5">
    <w:name w:val="Strong"/>
    <w:qFormat/>
    <w:rsid w:val="004C66BD"/>
    <w:rPr>
      <w:rFonts w:cs="Times New Roman"/>
      <w:b/>
      <w:bCs/>
    </w:rPr>
  </w:style>
  <w:style w:type="character" w:styleId="a6">
    <w:name w:val="Hyperlink"/>
    <w:rsid w:val="004C66BD"/>
    <w:rPr>
      <w:rFonts w:cs="Times New Roman"/>
      <w:color w:val="0000FF"/>
      <w:u w:val="single"/>
    </w:rPr>
  </w:style>
  <w:style w:type="character" w:customStyle="1" w:styleId="11">
    <w:name w:val="页码1"/>
    <w:rsid w:val="004C66BD"/>
    <w:rPr>
      <w:rFonts w:cs="Times New Roman"/>
    </w:rPr>
  </w:style>
  <w:style w:type="character" w:styleId="a7">
    <w:name w:val="Emphasis"/>
    <w:qFormat/>
    <w:rsid w:val="004C66BD"/>
    <w:rPr>
      <w:rFonts w:cs="Times New Roman"/>
      <w:color w:val="auto"/>
    </w:rPr>
  </w:style>
  <w:style w:type="character" w:customStyle="1" w:styleId="Char0">
    <w:name w:val="页脚 Char"/>
    <w:link w:val="a8"/>
    <w:rsid w:val="004C66BD"/>
    <w:rPr>
      <w:rFonts w:cs="Times New Roman"/>
      <w:sz w:val="18"/>
      <w:szCs w:val="18"/>
    </w:rPr>
  </w:style>
  <w:style w:type="character" w:customStyle="1" w:styleId="leftword">
    <w:name w:val="leftword"/>
    <w:rsid w:val="004C66BD"/>
    <w:rPr>
      <w:rFonts w:cs="Times New Roman"/>
    </w:rPr>
  </w:style>
  <w:style w:type="character" w:customStyle="1" w:styleId="BodyTextIndentChar">
    <w:name w:val="Body Text Indent Char"/>
    <w:link w:val="12"/>
    <w:rsid w:val="004C66BD"/>
    <w:rPr>
      <w:rFonts w:cs="Times New Roman"/>
      <w:szCs w:val="21"/>
    </w:rPr>
  </w:style>
  <w:style w:type="character" w:customStyle="1" w:styleId="NoSpacingChar">
    <w:name w:val="No Spacing Char"/>
    <w:link w:val="13"/>
    <w:rsid w:val="004C66BD"/>
    <w:rPr>
      <w:rFonts w:ascii="Calibri" w:hAnsi="Calibri" w:cs="Calibri"/>
      <w:sz w:val="22"/>
    </w:rPr>
  </w:style>
  <w:style w:type="character" w:customStyle="1" w:styleId="style61">
    <w:name w:val="style61"/>
    <w:rsid w:val="004C66BD"/>
    <w:rPr>
      <w:color w:val="auto"/>
    </w:rPr>
  </w:style>
  <w:style w:type="character" w:customStyle="1" w:styleId="Char1">
    <w:name w:val="批注框文本 Char"/>
    <w:link w:val="a9"/>
    <w:rsid w:val="004C66BD"/>
    <w:rPr>
      <w:rFonts w:cs="Times New Roman"/>
      <w:sz w:val="18"/>
      <w:szCs w:val="18"/>
    </w:rPr>
  </w:style>
  <w:style w:type="character" w:customStyle="1" w:styleId="Char2">
    <w:name w:val="页眉 Char"/>
    <w:link w:val="aa"/>
    <w:rsid w:val="004C66BD"/>
    <w:rPr>
      <w:rFonts w:cs="Times New Roman"/>
      <w:sz w:val="18"/>
      <w:szCs w:val="18"/>
    </w:rPr>
  </w:style>
  <w:style w:type="character" w:customStyle="1" w:styleId="st">
    <w:name w:val="st"/>
    <w:rsid w:val="004C66BD"/>
  </w:style>
  <w:style w:type="character" w:customStyle="1" w:styleId="Char3">
    <w:name w:val="标题 Char"/>
    <w:link w:val="ab"/>
    <w:rsid w:val="004C66BD"/>
    <w:rPr>
      <w:rFonts w:ascii="华文中宋" w:eastAsia="华文中宋" w:hAnsi="华文中宋" w:cs="华文中宋"/>
      <w:b/>
      <w:bCs/>
      <w:kern w:val="28"/>
      <w:sz w:val="36"/>
      <w:szCs w:val="36"/>
    </w:rPr>
  </w:style>
  <w:style w:type="character" w:customStyle="1" w:styleId="Strong1">
    <w:name w:val="Strong1"/>
    <w:rsid w:val="004C66BD"/>
    <w:rPr>
      <w:rFonts w:cs="Times New Roman"/>
      <w:b/>
      <w:bCs/>
    </w:rPr>
  </w:style>
  <w:style w:type="character" w:customStyle="1" w:styleId="style241">
    <w:name w:val="style241"/>
    <w:rsid w:val="004C66BD"/>
    <w:rPr>
      <w:color w:val="auto"/>
      <w:sz w:val="18"/>
    </w:rPr>
  </w:style>
  <w:style w:type="paragraph" w:customStyle="1" w:styleId="12">
    <w:name w:val="正文文本缩进1"/>
    <w:basedOn w:val="a"/>
    <w:link w:val="BodyTextIndentChar"/>
    <w:rsid w:val="004C66BD"/>
    <w:pPr>
      <w:spacing w:after="120"/>
      <w:ind w:leftChars="200" w:left="420"/>
    </w:pPr>
    <w:rPr>
      <w:rFonts w:asciiTheme="minorHAnsi" w:eastAsiaTheme="minorEastAsia" w:hAnsiTheme="minorHAnsi"/>
    </w:rPr>
  </w:style>
  <w:style w:type="paragraph" w:styleId="7">
    <w:name w:val="toc 7"/>
    <w:basedOn w:val="a"/>
    <w:next w:val="a"/>
    <w:rsid w:val="004C66BD"/>
    <w:pPr>
      <w:ind w:left="1260"/>
      <w:jc w:val="left"/>
    </w:pPr>
    <w:rPr>
      <w:sz w:val="18"/>
      <w:szCs w:val="18"/>
    </w:rPr>
  </w:style>
  <w:style w:type="paragraph" w:styleId="40">
    <w:name w:val="toc 4"/>
    <w:basedOn w:val="a"/>
    <w:next w:val="a"/>
    <w:rsid w:val="004C66BD"/>
    <w:pPr>
      <w:ind w:left="630"/>
      <w:jc w:val="left"/>
    </w:pPr>
    <w:rPr>
      <w:sz w:val="18"/>
      <w:szCs w:val="18"/>
    </w:rPr>
  </w:style>
  <w:style w:type="paragraph" w:customStyle="1" w:styleId="13">
    <w:name w:val="无间隔1"/>
    <w:link w:val="NoSpacingChar"/>
    <w:rsid w:val="004C66BD"/>
    <w:rPr>
      <w:rFonts w:ascii="Calibri" w:hAnsi="Calibri" w:cs="Calibri"/>
      <w:sz w:val="22"/>
    </w:rPr>
  </w:style>
  <w:style w:type="paragraph" w:customStyle="1" w:styleId="14">
    <w:name w:val="1"/>
    <w:basedOn w:val="a"/>
    <w:rsid w:val="004C66BD"/>
    <w:pPr>
      <w:widowControl/>
      <w:spacing w:after="160" w:line="240" w:lineRule="exact"/>
      <w:jc w:val="left"/>
    </w:pPr>
    <w:rPr>
      <w:rFonts w:ascii="Verdana" w:hAnsi="Verdana" w:cs="Verdana"/>
      <w:kern w:val="0"/>
      <w:sz w:val="20"/>
      <w:szCs w:val="20"/>
      <w:lang w:eastAsia="en-US"/>
    </w:rPr>
  </w:style>
  <w:style w:type="paragraph" w:styleId="aa">
    <w:name w:val="header"/>
    <w:basedOn w:val="a"/>
    <w:link w:val="Char2"/>
    <w:rsid w:val="004C66BD"/>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10">
    <w:name w:val="页眉 Char1"/>
    <w:basedOn w:val="a0"/>
    <w:link w:val="aa"/>
    <w:uiPriority w:val="99"/>
    <w:semiHidden/>
    <w:rsid w:val="004C66BD"/>
    <w:rPr>
      <w:rFonts w:ascii="Times New Roman" w:eastAsia="宋体" w:hAnsi="Times New Roman" w:cs="Times New Roman"/>
      <w:sz w:val="18"/>
      <w:szCs w:val="18"/>
    </w:rPr>
  </w:style>
  <w:style w:type="paragraph" w:styleId="8">
    <w:name w:val="toc 8"/>
    <w:basedOn w:val="a"/>
    <w:next w:val="a"/>
    <w:rsid w:val="004C66BD"/>
    <w:pPr>
      <w:ind w:left="1470"/>
      <w:jc w:val="left"/>
    </w:pPr>
    <w:rPr>
      <w:sz w:val="18"/>
      <w:szCs w:val="18"/>
    </w:rPr>
  </w:style>
  <w:style w:type="paragraph" w:styleId="a3">
    <w:name w:val="annotation text"/>
    <w:basedOn w:val="a"/>
    <w:link w:val="Char"/>
    <w:rsid w:val="004C66BD"/>
    <w:pPr>
      <w:jc w:val="left"/>
    </w:pPr>
    <w:rPr>
      <w:rFonts w:asciiTheme="minorHAnsi" w:eastAsiaTheme="minorEastAsia" w:hAnsiTheme="minorHAnsi"/>
    </w:rPr>
  </w:style>
  <w:style w:type="character" w:customStyle="1" w:styleId="Char11">
    <w:name w:val="批注文字 Char1"/>
    <w:basedOn w:val="a0"/>
    <w:link w:val="a3"/>
    <w:uiPriority w:val="99"/>
    <w:semiHidden/>
    <w:rsid w:val="004C66BD"/>
    <w:rPr>
      <w:rFonts w:ascii="Times New Roman" w:eastAsia="宋体" w:hAnsi="Times New Roman" w:cs="Times New Roman"/>
      <w:szCs w:val="21"/>
    </w:rPr>
  </w:style>
  <w:style w:type="paragraph" w:styleId="20">
    <w:name w:val="toc 2"/>
    <w:basedOn w:val="a"/>
    <w:next w:val="a"/>
    <w:rsid w:val="004C66BD"/>
    <w:pPr>
      <w:ind w:left="210"/>
      <w:jc w:val="left"/>
    </w:pPr>
    <w:rPr>
      <w:smallCaps/>
      <w:sz w:val="20"/>
      <w:szCs w:val="20"/>
    </w:rPr>
  </w:style>
  <w:style w:type="paragraph" w:styleId="9">
    <w:name w:val="toc 9"/>
    <w:basedOn w:val="a"/>
    <w:next w:val="a"/>
    <w:rsid w:val="004C66BD"/>
    <w:pPr>
      <w:ind w:left="1680"/>
      <w:jc w:val="left"/>
    </w:pPr>
    <w:rPr>
      <w:sz w:val="18"/>
      <w:szCs w:val="18"/>
    </w:rPr>
  </w:style>
  <w:style w:type="paragraph" w:styleId="ab">
    <w:name w:val="Title"/>
    <w:basedOn w:val="a"/>
    <w:next w:val="a"/>
    <w:link w:val="Char3"/>
    <w:qFormat/>
    <w:rsid w:val="004C66BD"/>
    <w:pPr>
      <w:widowControl/>
      <w:spacing w:before="240" w:after="60" w:line="500" w:lineRule="exact"/>
      <w:ind w:firstLineChars="200" w:firstLine="721"/>
      <w:jc w:val="center"/>
      <w:outlineLvl w:val="0"/>
    </w:pPr>
    <w:rPr>
      <w:rFonts w:ascii="华文中宋" w:eastAsia="华文中宋" w:hAnsi="华文中宋" w:cs="华文中宋"/>
      <w:b/>
      <w:bCs/>
      <w:kern w:val="28"/>
      <w:sz w:val="36"/>
      <w:szCs w:val="36"/>
    </w:rPr>
  </w:style>
  <w:style w:type="character" w:customStyle="1" w:styleId="Char12">
    <w:name w:val="标题 Char1"/>
    <w:basedOn w:val="a0"/>
    <w:link w:val="ab"/>
    <w:uiPriority w:val="10"/>
    <w:rsid w:val="004C66BD"/>
    <w:rPr>
      <w:rFonts w:asciiTheme="majorHAnsi" w:eastAsia="宋体" w:hAnsiTheme="majorHAnsi" w:cstheme="majorBidi"/>
      <w:b/>
      <w:bCs/>
      <w:sz w:val="32"/>
      <w:szCs w:val="32"/>
    </w:rPr>
  </w:style>
  <w:style w:type="paragraph" w:customStyle="1" w:styleId="15">
    <w:name w:val="列出段落1"/>
    <w:basedOn w:val="a"/>
    <w:rsid w:val="004C66BD"/>
    <w:pPr>
      <w:ind w:firstLineChars="200" w:firstLine="420"/>
    </w:pPr>
    <w:rPr>
      <w:rFonts w:ascii="Calibri" w:hAnsi="Calibri" w:cs="Calibri"/>
    </w:rPr>
  </w:style>
  <w:style w:type="paragraph" w:styleId="5">
    <w:name w:val="toc 5"/>
    <w:basedOn w:val="a"/>
    <w:next w:val="a"/>
    <w:rsid w:val="004C66BD"/>
    <w:pPr>
      <w:ind w:left="840"/>
      <w:jc w:val="left"/>
    </w:pPr>
    <w:rPr>
      <w:sz w:val="18"/>
      <w:szCs w:val="18"/>
    </w:rPr>
  </w:style>
  <w:style w:type="paragraph" w:styleId="16">
    <w:name w:val="toc 1"/>
    <w:basedOn w:val="a"/>
    <w:next w:val="a"/>
    <w:rsid w:val="004C66BD"/>
    <w:pPr>
      <w:spacing w:before="120" w:after="120"/>
      <w:jc w:val="left"/>
    </w:pPr>
    <w:rPr>
      <w:b/>
      <w:bCs/>
      <w:caps/>
      <w:sz w:val="20"/>
      <w:szCs w:val="20"/>
    </w:rPr>
  </w:style>
  <w:style w:type="paragraph" w:styleId="30">
    <w:name w:val="toc 3"/>
    <w:basedOn w:val="a"/>
    <w:next w:val="a"/>
    <w:rsid w:val="004C66BD"/>
    <w:pPr>
      <w:ind w:left="420"/>
      <w:jc w:val="left"/>
    </w:pPr>
    <w:rPr>
      <w:i/>
      <w:iCs/>
      <w:sz w:val="20"/>
      <w:szCs w:val="20"/>
    </w:rPr>
  </w:style>
  <w:style w:type="paragraph" w:styleId="6">
    <w:name w:val="toc 6"/>
    <w:basedOn w:val="a"/>
    <w:next w:val="a"/>
    <w:rsid w:val="004C66BD"/>
    <w:pPr>
      <w:ind w:left="1050"/>
      <w:jc w:val="left"/>
    </w:pPr>
    <w:rPr>
      <w:sz w:val="18"/>
      <w:szCs w:val="18"/>
    </w:rPr>
  </w:style>
  <w:style w:type="paragraph" w:styleId="a8">
    <w:name w:val="footer"/>
    <w:basedOn w:val="a"/>
    <w:link w:val="Char0"/>
    <w:rsid w:val="004C66BD"/>
    <w:pPr>
      <w:tabs>
        <w:tab w:val="center" w:pos="4153"/>
        <w:tab w:val="right" w:pos="8306"/>
      </w:tabs>
      <w:snapToGrid w:val="0"/>
      <w:jc w:val="left"/>
    </w:pPr>
    <w:rPr>
      <w:rFonts w:asciiTheme="minorHAnsi" w:eastAsiaTheme="minorEastAsia" w:hAnsiTheme="minorHAnsi"/>
      <w:sz w:val="18"/>
      <w:szCs w:val="18"/>
    </w:rPr>
  </w:style>
  <w:style w:type="character" w:customStyle="1" w:styleId="Char13">
    <w:name w:val="页脚 Char1"/>
    <w:basedOn w:val="a0"/>
    <w:link w:val="a8"/>
    <w:uiPriority w:val="99"/>
    <w:semiHidden/>
    <w:rsid w:val="004C66BD"/>
    <w:rPr>
      <w:rFonts w:ascii="Times New Roman" w:eastAsia="宋体" w:hAnsi="Times New Roman" w:cs="Times New Roman"/>
      <w:sz w:val="18"/>
      <w:szCs w:val="18"/>
    </w:rPr>
  </w:style>
  <w:style w:type="paragraph" w:styleId="a9">
    <w:name w:val="Balloon Text"/>
    <w:basedOn w:val="a"/>
    <w:link w:val="Char1"/>
    <w:rsid w:val="004C66BD"/>
    <w:rPr>
      <w:rFonts w:asciiTheme="minorHAnsi" w:eastAsiaTheme="minorEastAsia" w:hAnsiTheme="minorHAnsi"/>
      <w:sz w:val="18"/>
      <w:szCs w:val="18"/>
    </w:rPr>
  </w:style>
  <w:style w:type="character" w:customStyle="1" w:styleId="Char14">
    <w:name w:val="批注框文本 Char1"/>
    <w:basedOn w:val="a0"/>
    <w:link w:val="a9"/>
    <w:uiPriority w:val="99"/>
    <w:semiHidden/>
    <w:rsid w:val="004C66BD"/>
    <w:rPr>
      <w:rFonts w:ascii="Times New Roman" w:eastAsia="宋体" w:hAnsi="Times New Roman" w:cs="Times New Roman"/>
      <w:sz w:val="18"/>
      <w:szCs w:val="18"/>
    </w:rPr>
  </w:style>
  <w:style w:type="paragraph" w:customStyle="1" w:styleId="21">
    <w:name w:val="列出段落2"/>
    <w:basedOn w:val="a"/>
    <w:rsid w:val="004C66BD"/>
    <w:pPr>
      <w:widowControl/>
      <w:ind w:firstLineChars="200" w:firstLine="420"/>
      <w:jc w:val="left"/>
    </w:pPr>
    <w:rPr>
      <w:rFonts w:ascii="宋体" w:hAnsi="宋体" w:cs="宋体"/>
      <w:kern w:val="0"/>
      <w:sz w:val="24"/>
      <w:szCs w:val="24"/>
    </w:rPr>
  </w:style>
  <w:style w:type="paragraph" w:customStyle="1" w:styleId="CharCharCharChar">
    <w:name w:val="Char Char Char Char"/>
    <w:basedOn w:val="a"/>
    <w:rsid w:val="004C66BD"/>
    <w:pPr>
      <w:widowControl/>
      <w:spacing w:after="160" w:line="240" w:lineRule="exact"/>
      <w:jc w:val="left"/>
    </w:pPr>
    <w:rPr>
      <w:rFonts w:ascii="Verdana" w:eastAsia="仿宋_GB2312" w:hAnsi="Verdana" w:cs="Verdana"/>
      <w:kern w:val="0"/>
      <w:sz w:val="24"/>
      <w:szCs w:val="24"/>
      <w:lang w:eastAsia="en-US"/>
    </w:rPr>
  </w:style>
  <w:style w:type="paragraph" w:customStyle="1" w:styleId="Char30">
    <w:name w:val="Char3"/>
    <w:basedOn w:val="a"/>
    <w:rsid w:val="004C66BD"/>
    <w:pPr>
      <w:widowControl/>
      <w:spacing w:after="160" w:line="240" w:lineRule="exact"/>
      <w:jc w:val="left"/>
    </w:pPr>
    <w:rPr>
      <w:rFonts w:ascii="Arial" w:hAnsi="Arial" w:cs="Arial"/>
      <w:b/>
      <w:bCs/>
      <w:kern w:val="0"/>
      <w:sz w:val="24"/>
      <w:szCs w:val="24"/>
      <w:lang w:eastAsia="en-US"/>
    </w:rPr>
  </w:style>
  <w:style w:type="paragraph" w:customStyle="1" w:styleId="Char20">
    <w:name w:val="Char2"/>
    <w:basedOn w:val="a"/>
    <w:rsid w:val="004C66BD"/>
    <w:pPr>
      <w:widowControl/>
      <w:spacing w:after="160" w:line="240" w:lineRule="exact"/>
      <w:jc w:val="left"/>
    </w:pPr>
    <w:rPr>
      <w:rFonts w:ascii="Arial" w:hAnsi="Arial" w:cs="Arial"/>
      <w:b/>
      <w:bCs/>
      <w:kern w:val="0"/>
      <w:sz w:val="24"/>
      <w:szCs w:val="24"/>
      <w:lang w:eastAsia="en-US"/>
    </w:rPr>
  </w:style>
  <w:style w:type="paragraph" w:customStyle="1" w:styleId="10">
    <w:name w:val="纯文本1"/>
    <w:basedOn w:val="a"/>
    <w:link w:val="PlainTextChar"/>
    <w:rsid w:val="004C66BD"/>
    <w:rPr>
      <w:rFonts w:ascii="宋体" w:eastAsiaTheme="minorEastAsia" w:hAnsi="Courier New" w:cs="宋体"/>
    </w:rPr>
  </w:style>
  <w:style w:type="paragraph" w:customStyle="1" w:styleId="HTML1">
    <w:name w:val="HTML 预设格式1"/>
    <w:basedOn w:val="a"/>
    <w:link w:val="HTMLPreformattedChar"/>
    <w:rsid w:val="004C66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heme="minorHAnsi" w:cs="宋体"/>
      <w:sz w:val="24"/>
      <w:szCs w:val="24"/>
    </w:rPr>
  </w:style>
  <w:style w:type="paragraph" w:customStyle="1" w:styleId="CharCharCharCharCharChar1CharCharCharCharCharCharCharCharCharCharCharCharChar">
    <w:name w:val="Char Char Char Char Char Char1 Char Char Char Char Char Char Char Char Char Char Char Char Char"/>
    <w:basedOn w:val="a"/>
    <w:rsid w:val="004C66BD"/>
    <w:pPr>
      <w:widowControl/>
      <w:spacing w:after="160" w:line="240" w:lineRule="exact"/>
      <w:jc w:val="left"/>
    </w:pPr>
    <w:rPr>
      <w:rFonts w:ascii="Arial" w:hAnsi="Arial" w:cs="Arial"/>
      <w:b/>
      <w:bCs/>
      <w:kern w:val="0"/>
      <w:sz w:val="24"/>
      <w:szCs w:val="24"/>
      <w:lang w:eastAsia="en-US"/>
    </w:rPr>
  </w:style>
  <w:style w:type="paragraph" w:customStyle="1" w:styleId="ParaChar">
    <w:name w:val="默认段落字体 Para Char"/>
    <w:basedOn w:val="a"/>
    <w:rsid w:val="004C66BD"/>
  </w:style>
  <w:style w:type="paragraph" w:customStyle="1" w:styleId="Char15">
    <w:name w:val="Char1"/>
    <w:basedOn w:val="a"/>
    <w:rsid w:val="004C66BD"/>
    <w:pPr>
      <w:widowControl/>
      <w:spacing w:after="160" w:line="240" w:lineRule="exact"/>
      <w:jc w:val="left"/>
    </w:pPr>
    <w:rPr>
      <w:rFonts w:ascii="Verdana" w:eastAsia="仿宋_GB2312" w:hAnsi="Verdana" w:cs="Verdana"/>
      <w:kern w:val="0"/>
      <w:sz w:val="24"/>
      <w:szCs w:val="24"/>
      <w:lang w:eastAsia="en-US"/>
    </w:rPr>
  </w:style>
  <w:style w:type="paragraph" w:customStyle="1" w:styleId="Char4">
    <w:name w:val="Char"/>
    <w:basedOn w:val="a"/>
    <w:rsid w:val="004C66BD"/>
    <w:pPr>
      <w:widowControl/>
      <w:spacing w:after="160" w:line="240" w:lineRule="exact"/>
      <w:jc w:val="left"/>
    </w:pPr>
    <w:rPr>
      <w:rFonts w:ascii="Arial" w:hAnsi="Arial" w:cs="Arial"/>
      <w:b/>
      <w:bCs/>
      <w:kern w:val="0"/>
      <w:sz w:val="24"/>
      <w:szCs w:val="24"/>
      <w:lang w:eastAsia="en-US"/>
    </w:rPr>
  </w:style>
  <w:style w:type="paragraph" w:customStyle="1" w:styleId="Default">
    <w:name w:val="Default"/>
    <w:rsid w:val="004C66BD"/>
    <w:pPr>
      <w:widowControl w:val="0"/>
      <w:autoSpaceDE w:val="0"/>
      <w:autoSpaceDN w:val="0"/>
      <w:adjustRightInd w:val="0"/>
    </w:pPr>
    <w:rPr>
      <w:rFonts w:ascii="仿宋_GB2312" w:eastAsia="仿宋_GB2312" w:hAnsi="Times New Roman" w:cs="仿宋_GB2312"/>
      <w:color w:val="000000"/>
      <w:kern w:val="0"/>
      <w:sz w:val="24"/>
      <w:szCs w:val="24"/>
    </w:rPr>
  </w:style>
  <w:style w:type="paragraph" w:customStyle="1" w:styleId="17">
    <w:name w:val="普通(网站)1"/>
    <w:basedOn w:val="a"/>
    <w:rsid w:val="004C66BD"/>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rsid w:val="004C66BD"/>
    <w:pPr>
      <w:widowControl/>
      <w:spacing w:before="480" w:after="0" w:line="276" w:lineRule="auto"/>
      <w:jc w:val="left"/>
      <w:outlineLvl w:val="9"/>
    </w:pPr>
    <w:rPr>
      <w:rFonts w:eastAsia="宋体"/>
      <w:color w:val="365F91"/>
      <w:kern w:val="0"/>
      <w:sz w:val="28"/>
      <w:szCs w:val="28"/>
    </w:rPr>
  </w:style>
  <w:style w:type="paragraph" w:customStyle="1" w:styleId="CharChar1CharCharCharChar">
    <w:name w:val="Char Char1 Char Char Char Char"/>
    <w:basedOn w:val="a"/>
    <w:rsid w:val="004C66BD"/>
    <w:pPr>
      <w:widowControl/>
      <w:spacing w:after="160" w:line="240" w:lineRule="exact"/>
      <w:jc w:val="left"/>
    </w:pPr>
    <w:rPr>
      <w:rFonts w:ascii="Verdana" w:hAnsi="Verdana" w:cs="Verdana"/>
      <w:kern w:val="0"/>
      <w:sz w:val="20"/>
      <w:szCs w:val="20"/>
      <w:lang w:eastAsia="en-US"/>
    </w:rPr>
  </w:style>
  <w:style w:type="paragraph" w:customStyle="1" w:styleId="ac">
    <w:name w:val="正文小三号"/>
    <w:basedOn w:val="a"/>
    <w:rsid w:val="004C66BD"/>
    <w:pPr>
      <w:tabs>
        <w:tab w:val="left" w:pos="567"/>
      </w:tabs>
    </w:pPr>
    <w:rPr>
      <w:rFonts w:eastAsia="仿宋_GB2312"/>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xiahr</dc:creator>
  <cp:keywords/>
  <dc:description/>
  <cp:lastModifiedBy>xiahr</cp:lastModifiedBy>
  <cp:revision>2</cp:revision>
  <dcterms:created xsi:type="dcterms:W3CDTF">2012-07-13T05:29:00Z</dcterms:created>
  <dcterms:modified xsi:type="dcterms:W3CDTF">2012-07-13T05:32:00Z</dcterms:modified>
</cp:coreProperties>
</file>